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9365"/>
      </w:tblGrid>
      <w:tr w:rsidR="00A67C8A" w14:paraId="1D461AD0" w14:textId="77777777" w:rsidTr="00A67C8A">
        <w:trPr>
          <w:trHeight w:val="739"/>
        </w:trPr>
        <w:tc>
          <w:tcPr>
            <w:tcW w:w="2605" w:type="dxa"/>
            <w:tcMar>
              <w:left w:w="108" w:type="dxa"/>
              <w:right w:w="108" w:type="dxa"/>
            </w:tcMar>
            <w:vAlign w:val="center"/>
          </w:tcPr>
          <w:p w14:paraId="121027E3" w14:textId="77777777" w:rsidR="00A67C8A" w:rsidRDefault="00A67C8A" w:rsidP="00957B0D">
            <w:pPr>
              <w:spacing w:after="60"/>
            </w:pPr>
            <w:r>
              <w:rPr>
                <w:noProof/>
              </w:rPr>
              <w:drawing>
                <wp:inline distT="0" distB="0" distL="0" distR="0" wp14:anchorId="257F67F8" wp14:editId="23C456BC">
                  <wp:extent cx="1364272" cy="424594"/>
                  <wp:effectExtent l="0" t="0" r="0" b="0"/>
                  <wp:docPr id="745687960" name="Picture 745687960"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87960" name="Picture 745687960" descr="A logo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4272" cy="424594"/>
                          </a:xfrm>
                          <a:prstGeom prst="rect">
                            <a:avLst/>
                          </a:prstGeom>
                        </pic:spPr>
                      </pic:pic>
                    </a:graphicData>
                  </a:graphic>
                </wp:inline>
              </w:drawing>
            </w:r>
          </w:p>
        </w:tc>
        <w:tc>
          <w:tcPr>
            <w:tcW w:w="9365" w:type="dxa"/>
            <w:tcMar>
              <w:left w:w="108" w:type="dxa"/>
              <w:right w:w="108" w:type="dxa"/>
            </w:tcMar>
            <w:vAlign w:val="center"/>
          </w:tcPr>
          <w:p w14:paraId="10D6D8C1" w14:textId="3FD3DD76" w:rsidR="00A67C8A" w:rsidRPr="00A67C8A" w:rsidRDefault="00A67C8A" w:rsidP="00A67C8A">
            <w:pPr>
              <w:spacing w:after="60"/>
              <w:rPr>
                <w:rFonts w:eastAsia="Calibri" w:cstheme="minorHAnsi"/>
                <w:color w:val="FF0000"/>
                <w:sz w:val="28"/>
                <w:szCs w:val="28"/>
              </w:rPr>
            </w:pPr>
            <w:r w:rsidRPr="00A67C8A">
              <w:rPr>
                <w:rFonts w:eastAsia="Calibri" w:cstheme="minorHAnsi"/>
                <w:sz w:val="40"/>
                <w:szCs w:val="40"/>
              </w:rPr>
              <w:t>Entitlements for non-staff on emergency deployment</w:t>
            </w:r>
          </w:p>
        </w:tc>
      </w:tr>
    </w:tbl>
    <w:p w14:paraId="68EA72F3" w14:textId="3DE3DF58" w:rsidR="00F2694E" w:rsidRPr="006E3225" w:rsidRDefault="00F2694E" w:rsidP="30DD2215">
      <w:pPr>
        <w:jc w:val="center"/>
        <w:rPr>
          <w:b/>
          <w:bCs/>
          <w:sz w:val="28"/>
          <w:szCs w:val="28"/>
        </w:rPr>
      </w:pPr>
    </w:p>
    <w:tbl>
      <w:tblPr>
        <w:tblStyle w:val="TableGrid"/>
        <w:tblW w:w="13400" w:type="dxa"/>
        <w:tblLayout w:type="fixed"/>
        <w:tblCellMar>
          <w:top w:w="58" w:type="dxa"/>
          <w:bottom w:w="86" w:type="dxa"/>
        </w:tblCellMar>
        <w:tblLook w:val="06A0" w:firstRow="1" w:lastRow="0" w:firstColumn="1" w:lastColumn="0" w:noHBand="1" w:noVBand="1"/>
      </w:tblPr>
      <w:tblGrid>
        <w:gridCol w:w="1430"/>
        <w:gridCol w:w="2714"/>
        <w:gridCol w:w="2077"/>
        <w:gridCol w:w="2319"/>
        <w:gridCol w:w="2352"/>
        <w:gridCol w:w="2508"/>
      </w:tblGrid>
      <w:tr w:rsidR="30DD2215" w:rsidRPr="00DD5DC5" w14:paraId="27FD6077" w14:textId="77777777" w:rsidTr="54FDED13">
        <w:trPr>
          <w:tblHeader/>
        </w:trPr>
        <w:tc>
          <w:tcPr>
            <w:tcW w:w="1430" w:type="dxa"/>
            <w:vMerge w:val="restart"/>
            <w:tcBorders>
              <w:top w:val="single" w:sz="8" w:space="0" w:color="auto"/>
              <w:left w:val="single" w:sz="8" w:space="0" w:color="auto"/>
              <w:bottom w:val="single" w:sz="8" w:space="0" w:color="000000" w:themeColor="text1"/>
              <w:right w:val="single" w:sz="8" w:space="0" w:color="auto"/>
            </w:tcBorders>
            <w:shd w:val="clear" w:color="auto" w:fill="4F81BD" w:themeFill="accent1"/>
            <w:tcMar>
              <w:top w:w="15" w:type="dxa"/>
              <w:left w:w="15" w:type="dxa"/>
              <w:right w:w="15" w:type="dxa"/>
            </w:tcMar>
          </w:tcPr>
          <w:p w14:paraId="6F1911B8" w14:textId="67CE35A4" w:rsidR="006E3225" w:rsidRPr="00D71A71" w:rsidRDefault="30DD2215" w:rsidP="00DD5DC5">
            <w:pPr>
              <w:ind w:left="65" w:right="82"/>
              <w:rPr>
                <w:rFonts w:ascii="Calibri" w:eastAsia="Calibri" w:hAnsi="Calibri" w:cs="Calibri"/>
                <w:b/>
                <w:bCs/>
                <w:color w:val="FFFFFF" w:themeColor="background1"/>
                <w:sz w:val="20"/>
                <w:szCs w:val="20"/>
              </w:rPr>
            </w:pPr>
            <w:r w:rsidRPr="00D71A71">
              <w:rPr>
                <w:rFonts w:ascii="Calibri" w:eastAsia="Calibri" w:hAnsi="Calibri" w:cs="Calibri"/>
                <w:b/>
                <w:bCs/>
                <w:color w:val="FFFFFF" w:themeColor="background1"/>
                <w:sz w:val="20"/>
                <w:szCs w:val="20"/>
              </w:rPr>
              <w:t xml:space="preserve">Type of </w:t>
            </w:r>
            <w:r w:rsidR="006E3225" w:rsidRPr="00D71A71">
              <w:rPr>
                <w:rFonts w:ascii="Calibri" w:eastAsia="Calibri" w:hAnsi="Calibri" w:cs="Calibri"/>
                <w:b/>
                <w:bCs/>
                <w:color w:val="FFFFFF" w:themeColor="background1"/>
                <w:sz w:val="20"/>
                <w:szCs w:val="20"/>
              </w:rPr>
              <w:t>d</w:t>
            </w:r>
            <w:r w:rsidRPr="00D71A71">
              <w:rPr>
                <w:rFonts w:ascii="Calibri" w:eastAsia="Calibri" w:hAnsi="Calibri" w:cs="Calibri"/>
                <w:b/>
                <w:bCs/>
                <w:color w:val="FFFFFF" w:themeColor="background1"/>
                <w:sz w:val="20"/>
                <w:szCs w:val="20"/>
              </w:rPr>
              <w:t>eployment/</w:t>
            </w:r>
          </w:p>
          <w:p w14:paraId="2DA4B711" w14:textId="589BE124" w:rsidR="30DD2215" w:rsidRPr="00D71A71" w:rsidRDefault="30DD2215" w:rsidP="00DD5DC5">
            <w:pPr>
              <w:ind w:left="65" w:right="82"/>
              <w:rPr>
                <w:color w:val="FFFFFF" w:themeColor="background1"/>
                <w:sz w:val="20"/>
                <w:szCs w:val="20"/>
              </w:rPr>
            </w:pPr>
            <w:r w:rsidRPr="00D71A71">
              <w:rPr>
                <w:rFonts w:ascii="Calibri" w:eastAsia="Calibri" w:hAnsi="Calibri" w:cs="Calibri"/>
                <w:b/>
                <w:bCs/>
                <w:color w:val="FFFFFF" w:themeColor="background1"/>
                <w:sz w:val="20"/>
                <w:szCs w:val="20"/>
              </w:rPr>
              <w:t>contract</w:t>
            </w:r>
          </w:p>
        </w:tc>
        <w:tc>
          <w:tcPr>
            <w:tcW w:w="2714" w:type="dxa"/>
            <w:vMerge w:val="restart"/>
            <w:tcBorders>
              <w:top w:val="single" w:sz="8" w:space="0" w:color="auto"/>
              <w:left w:val="single" w:sz="8" w:space="0" w:color="auto"/>
              <w:bottom w:val="single" w:sz="8" w:space="0" w:color="000000" w:themeColor="text1"/>
              <w:right w:val="single" w:sz="8" w:space="0" w:color="auto"/>
            </w:tcBorders>
            <w:shd w:val="clear" w:color="auto" w:fill="4F81BD" w:themeFill="accent1"/>
          </w:tcPr>
          <w:p w14:paraId="3B55C0D6" w14:textId="4475C823" w:rsidR="30DD2215" w:rsidRPr="00D71A71" w:rsidRDefault="30DD2215" w:rsidP="006E3225">
            <w:pPr>
              <w:ind w:left="68" w:right="89"/>
              <w:jc w:val="center"/>
              <w:rPr>
                <w:color w:val="FFFFFF" w:themeColor="background1"/>
                <w:sz w:val="20"/>
                <w:szCs w:val="20"/>
              </w:rPr>
            </w:pPr>
            <w:r w:rsidRPr="00D71A71">
              <w:rPr>
                <w:rFonts w:ascii="Calibri" w:eastAsia="Calibri" w:hAnsi="Calibri" w:cs="Calibri"/>
                <w:b/>
                <w:bCs/>
                <w:color w:val="FFFFFF" w:themeColor="background1"/>
                <w:sz w:val="20"/>
                <w:szCs w:val="20"/>
              </w:rPr>
              <w:t>Consultants</w:t>
            </w:r>
          </w:p>
        </w:tc>
        <w:tc>
          <w:tcPr>
            <w:tcW w:w="2077" w:type="dxa"/>
            <w:vMerge w:val="restart"/>
            <w:tcBorders>
              <w:top w:val="single" w:sz="8" w:space="0" w:color="auto"/>
              <w:left w:val="single" w:sz="8" w:space="0" w:color="auto"/>
              <w:bottom w:val="single" w:sz="8" w:space="0" w:color="000000" w:themeColor="text1"/>
              <w:right w:val="single" w:sz="8" w:space="0" w:color="auto"/>
            </w:tcBorders>
            <w:shd w:val="clear" w:color="auto" w:fill="4F81BD" w:themeFill="accent1"/>
            <w:tcMar>
              <w:top w:w="15" w:type="dxa"/>
              <w:left w:w="15" w:type="dxa"/>
              <w:right w:w="15" w:type="dxa"/>
            </w:tcMar>
          </w:tcPr>
          <w:p w14:paraId="18E58857" w14:textId="6CECCA10" w:rsidR="30DD2215" w:rsidRPr="00D71A71" w:rsidRDefault="30DD2215" w:rsidP="006E3225">
            <w:pPr>
              <w:ind w:left="61" w:right="96"/>
              <w:jc w:val="center"/>
              <w:rPr>
                <w:color w:val="FFFFFF" w:themeColor="background1"/>
                <w:sz w:val="20"/>
                <w:szCs w:val="20"/>
              </w:rPr>
            </w:pPr>
            <w:r w:rsidRPr="00D71A71">
              <w:rPr>
                <w:rFonts w:ascii="Calibri" w:eastAsia="Calibri" w:hAnsi="Calibri" w:cs="Calibri"/>
                <w:b/>
                <w:bCs/>
                <w:color w:val="FFFFFF" w:themeColor="background1"/>
                <w:sz w:val="20"/>
                <w:szCs w:val="20"/>
              </w:rPr>
              <w:t xml:space="preserve">GOARN Experts </w:t>
            </w:r>
            <w:r w:rsidR="006E3225" w:rsidRPr="00D71A71">
              <w:rPr>
                <w:rFonts w:ascii="Calibri" w:eastAsia="Calibri" w:hAnsi="Calibri" w:cs="Calibri"/>
                <w:b/>
                <w:bCs/>
                <w:color w:val="FFFFFF" w:themeColor="background1"/>
                <w:sz w:val="20"/>
                <w:szCs w:val="20"/>
              </w:rPr>
              <w:br/>
            </w:r>
            <w:r w:rsidRPr="00D71A71">
              <w:rPr>
                <w:rFonts w:ascii="Calibri" w:eastAsia="Calibri" w:hAnsi="Calibri" w:cs="Calibri"/>
                <w:b/>
                <w:bCs/>
                <w:color w:val="FFFFFF" w:themeColor="background1"/>
                <w:sz w:val="20"/>
                <w:szCs w:val="20"/>
              </w:rPr>
              <w:t>(nil remuneration consultant contracts)</w:t>
            </w:r>
          </w:p>
        </w:tc>
        <w:tc>
          <w:tcPr>
            <w:tcW w:w="4671" w:type="dxa"/>
            <w:gridSpan w:val="2"/>
            <w:tcBorders>
              <w:top w:val="single" w:sz="8" w:space="0" w:color="auto"/>
              <w:left w:val="single" w:sz="8" w:space="0" w:color="auto"/>
              <w:bottom w:val="single" w:sz="8" w:space="0" w:color="auto"/>
              <w:right w:val="nil"/>
            </w:tcBorders>
            <w:shd w:val="clear" w:color="auto" w:fill="4F81BD" w:themeFill="accent1"/>
            <w:tcMar>
              <w:top w:w="15" w:type="dxa"/>
              <w:left w:w="15" w:type="dxa"/>
              <w:right w:w="15" w:type="dxa"/>
            </w:tcMar>
          </w:tcPr>
          <w:p w14:paraId="602CC6F4" w14:textId="5323409D" w:rsidR="30DD2215" w:rsidRPr="00D71A71" w:rsidRDefault="30DD2215" w:rsidP="006E3225">
            <w:pPr>
              <w:ind w:left="144" w:right="103"/>
              <w:jc w:val="center"/>
              <w:rPr>
                <w:color w:val="FFFFFF" w:themeColor="background1"/>
                <w:sz w:val="20"/>
                <w:szCs w:val="20"/>
              </w:rPr>
            </w:pPr>
            <w:r w:rsidRPr="00D71A71">
              <w:rPr>
                <w:rFonts w:ascii="Calibri" w:eastAsia="Calibri" w:hAnsi="Calibri" w:cs="Calibri"/>
                <w:b/>
                <w:bCs/>
                <w:color w:val="FFFFFF" w:themeColor="background1"/>
                <w:sz w:val="20"/>
                <w:szCs w:val="20"/>
              </w:rPr>
              <w:t>Standby Personnel  / Experts on Mission</w:t>
            </w:r>
          </w:p>
        </w:tc>
        <w:tc>
          <w:tcPr>
            <w:tcW w:w="2508" w:type="dxa"/>
            <w:vMerge w:val="restart"/>
            <w:tcBorders>
              <w:top w:val="single" w:sz="8" w:space="0" w:color="auto"/>
              <w:left w:val="single" w:sz="8" w:space="0" w:color="auto"/>
              <w:bottom w:val="single" w:sz="8" w:space="0" w:color="000000" w:themeColor="text1"/>
              <w:right w:val="single" w:sz="8" w:space="0" w:color="auto"/>
            </w:tcBorders>
            <w:shd w:val="clear" w:color="auto" w:fill="4F81BD" w:themeFill="accent1"/>
            <w:tcMar>
              <w:top w:w="15" w:type="dxa"/>
              <w:left w:w="15" w:type="dxa"/>
              <w:right w:w="15" w:type="dxa"/>
            </w:tcMar>
          </w:tcPr>
          <w:p w14:paraId="74078ECE" w14:textId="6CD69396" w:rsidR="30DD2215" w:rsidRPr="00D71A71" w:rsidRDefault="30DD2215" w:rsidP="006E3225">
            <w:pPr>
              <w:ind w:left="137" w:right="87"/>
              <w:jc w:val="center"/>
              <w:rPr>
                <w:color w:val="FFFFFF" w:themeColor="background1"/>
                <w:sz w:val="20"/>
                <w:szCs w:val="20"/>
              </w:rPr>
            </w:pPr>
            <w:r w:rsidRPr="00D71A71">
              <w:rPr>
                <w:rFonts w:ascii="Calibri" w:eastAsia="Calibri" w:hAnsi="Calibri" w:cs="Calibri"/>
                <w:b/>
                <w:bCs/>
                <w:color w:val="FFFFFF" w:themeColor="background1"/>
                <w:sz w:val="20"/>
                <w:szCs w:val="20"/>
              </w:rPr>
              <w:t>United Nations Volunteers (UNV)</w:t>
            </w:r>
          </w:p>
        </w:tc>
      </w:tr>
      <w:tr w:rsidR="30DD2215" w:rsidRPr="006E3225" w14:paraId="157FE3D3" w14:textId="77777777" w:rsidTr="54FDED13">
        <w:trPr>
          <w:tblHeader/>
        </w:trPr>
        <w:tc>
          <w:tcPr>
            <w:tcW w:w="1430" w:type="dxa"/>
            <w:vMerge/>
          </w:tcPr>
          <w:p w14:paraId="4911974C" w14:textId="77777777" w:rsidR="000B6F0A" w:rsidRPr="00DD5DC5" w:rsidRDefault="000B6F0A" w:rsidP="006E3225">
            <w:pPr>
              <w:ind w:left="65" w:right="82"/>
              <w:jc w:val="center"/>
              <w:rPr>
                <w:sz w:val="20"/>
                <w:szCs w:val="20"/>
              </w:rPr>
            </w:pPr>
          </w:p>
        </w:tc>
        <w:tc>
          <w:tcPr>
            <w:tcW w:w="2714" w:type="dxa"/>
            <w:vMerge/>
          </w:tcPr>
          <w:p w14:paraId="350413C3" w14:textId="77777777" w:rsidR="000B6F0A" w:rsidRPr="006E3225" w:rsidRDefault="000B6F0A" w:rsidP="006E3225">
            <w:pPr>
              <w:ind w:left="68" w:right="89"/>
              <w:jc w:val="center"/>
            </w:pPr>
          </w:p>
        </w:tc>
        <w:tc>
          <w:tcPr>
            <w:tcW w:w="2077" w:type="dxa"/>
            <w:vMerge/>
          </w:tcPr>
          <w:p w14:paraId="27D544A5" w14:textId="77777777" w:rsidR="000B6F0A" w:rsidRPr="006E3225" w:rsidRDefault="000B6F0A" w:rsidP="006E3225">
            <w:pPr>
              <w:ind w:left="61" w:right="96"/>
              <w:jc w:val="center"/>
            </w:pPr>
          </w:p>
        </w:tc>
        <w:tc>
          <w:tcPr>
            <w:tcW w:w="2319" w:type="dxa"/>
            <w:tcBorders>
              <w:top w:val="single" w:sz="8" w:space="0" w:color="auto"/>
              <w:left w:val="nil"/>
              <w:bottom w:val="single" w:sz="8" w:space="0" w:color="auto"/>
              <w:right w:val="single" w:sz="8" w:space="0" w:color="auto"/>
            </w:tcBorders>
            <w:shd w:val="clear" w:color="auto" w:fill="4F81BD" w:themeFill="accent1"/>
            <w:tcMar>
              <w:top w:w="15" w:type="dxa"/>
              <w:left w:w="15" w:type="dxa"/>
              <w:right w:w="15" w:type="dxa"/>
            </w:tcMar>
          </w:tcPr>
          <w:p w14:paraId="5E6172AA" w14:textId="45E6ECC8" w:rsidR="30DD2215" w:rsidRPr="00D71A71" w:rsidRDefault="30DD2215" w:rsidP="006E3225">
            <w:pPr>
              <w:ind w:left="144" w:right="103"/>
              <w:jc w:val="center"/>
              <w:rPr>
                <w:color w:val="FFFFFF" w:themeColor="background1"/>
                <w:sz w:val="20"/>
                <w:szCs w:val="20"/>
              </w:rPr>
            </w:pPr>
            <w:r w:rsidRPr="00D71A71">
              <w:rPr>
                <w:rFonts w:ascii="Calibri" w:eastAsia="Calibri" w:hAnsi="Calibri" w:cs="Calibri"/>
                <w:b/>
                <w:bCs/>
                <w:color w:val="FFFFFF" w:themeColor="background1"/>
                <w:sz w:val="20"/>
                <w:szCs w:val="20"/>
              </w:rPr>
              <w:t>Gratis Mechanism</w:t>
            </w:r>
          </w:p>
        </w:tc>
        <w:tc>
          <w:tcPr>
            <w:tcW w:w="2352" w:type="dxa"/>
            <w:tcBorders>
              <w:top w:val="nil"/>
              <w:left w:val="single" w:sz="8" w:space="0" w:color="auto"/>
              <w:bottom w:val="single" w:sz="8" w:space="0" w:color="auto"/>
              <w:right w:val="nil"/>
            </w:tcBorders>
            <w:shd w:val="clear" w:color="auto" w:fill="4F81BD" w:themeFill="accent1"/>
            <w:tcMar>
              <w:top w:w="15" w:type="dxa"/>
              <w:left w:w="15" w:type="dxa"/>
              <w:right w:w="15" w:type="dxa"/>
            </w:tcMar>
          </w:tcPr>
          <w:p w14:paraId="1DA51B39" w14:textId="128A7B60" w:rsidR="30DD2215" w:rsidRPr="00D71A71" w:rsidRDefault="30DD2215" w:rsidP="006E3225">
            <w:pPr>
              <w:ind w:left="48" w:right="103"/>
              <w:jc w:val="center"/>
              <w:rPr>
                <w:color w:val="FFFFFF" w:themeColor="background1"/>
                <w:sz w:val="20"/>
                <w:szCs w:val="20"/>
              </w:rPr>
            </w:pPr>
            <w:r w:rsidRPr="00D71A71">
              <w:rPr>
                <w:rFonts w:ascii="Calibri" w:eastAsia="Calibri" w:hAnsi="Calibri" w:cs="Calibri"/>
                <w:b/>
                <w:bCs/>
                <w:color w:val="FFFFFF" w:themeColor="background1"/>
                <w:sz w:val="20"/>
                <w:szCs w:val="20"/>
              </w:rPr>
              <w:t>Reimbursable Loan Agreements (RLA)</w:t>
            </w:r>
          </w:p>
        </w:tc>
        <w:tc>
          <w:tcPr>
            <w:tcW w:w="2508" w:type="dxa"/>
            <w:vMerge/>
          </w:tcPr>
          <w:p w14:paraId="7BAA4309" w14:textId="77777777" w:rsidR="000B6F0A" w:rsidRPr="006E3225" w:rsidRDefault="000B6F0A" w:rsidP="006E3225">
            <w:pPr>
              <w:ind w:left="137" w:right="87"/>
              <w:jc w:val="center"/>
            </w:pPr>
          </w:p>
        </w:tc>
      </w:tr>
      <w:tr w:rsidR="30DD2215" w:rsidRPr="006E3225" w14:paraId="2B666F34" w14:textId="77777777" w:rsidTr="54FDED13">
        <w:tc>
          <w:tcPr>
            <w:tcW w:w="1430" w:type="dxa"/>
            <w:tcBorders>
              <w:top w:val="nil"/>
              <w:left w:val="single" w:sz="8" w:space="0" w:color="auto"/>
              <w:bottom w:val="single" w:sz="8" w:space="0" w:color="auto"/>
              <w:right w:val="single" w:sz="8" w:space="0" w:color="auto"/>
            </w:tcBorders>
            <w:tcMar>
              <w:top w:w="15" w:type="dxa"/>
              <w:left w:w="15" w:type="dxa"/>
              <w:right w:w="15" w:type="dxa"/>
            </w:tcMar>
          </w:tcPr>
          <w:p w14:paraId="5A351BFC" w14:textId="558BDE82"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Role</w:t>
            </w:r>
          </w:p>
        </w:tc>
        <w:tc>
          <w:tcPr>
            <w:tcW w:w="2714" w:type="dxa"/>
            <w:tcBorders>
              <w:top w:val="nil"/>
              <w:left w:val="single" w:sz="8" w:space="0" w:color="auto"/>
              <w:bottom w:val="single" w:sz="8" w:space="0" w:color="auto"/>
              <w:right w:val="single" w:sz="8" w:space="0" w:color="auto"/>
            </w:tcBorders>
            <w:shd w:val="clear" w:color="auto" w:fill="FFFFFF" w:themeFill="background1"/>
            <w:tcMar>
              <w:top w:w="15" w:type="dxa"/>
              <w:left w:w="15" w:type="dxa"/>
              <w:right w:w="15" w:type="dxa"/>
            </w:tcMar>
          </w:tcPr>
          <w:p w14:paraId="42388F45" w14:textId="07311F93"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Specialized technical roles</w:t>
            </w:r>
            <w:r w:rsidR="008F1021">
              <w:rPr>
                <w:rFonts w:ascii="Calibri" w:eastAsia="Calibri" w:hAnsi="Calibri" w:cs="Calibri"/>
                <w:color w:val="000000" w:themeColor="text1"/>
                <w:sz w:val="20"/>
                <w:szCs w:val="20"/>
              </w:rPr>
              <w:t>.</w:t>
            </w:r>
          </w:p>
        </w:tc>
        <w:tc>
          <w:tcPr>
            <w:tcW w:w="2077" w:type="dxa"/>
            <w:tcBorders>
              <w:top w:val="nil"/>
              <w:left w:val="single" w:sz="8" w:space="0" w:color="auto"/>
              <w:bottom w:val="single" w:sz="8" w:space="0" w:color="auto"/>
              <w:right w:val="single" w:sz="8" w:space="0" w:color="auto"/>
            </w:tcBorders>
            <w:tcMar>
              <w:top w:w="15" w:type="dxa"/>
              <w:left w:w="15" w:type="dxa"/>
              <w:right w:w="15" w:type="dxa"/>
            </w:tcMar>
          </w:tcPr>
          <w:p w14:paraId="1301F4E0" w14:textId="028AA687"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Experts identified by the GOARN Operational Support Team can hold advisory or technical operational roles within a WHO team (under the supervision of a WHO staff member) or under the leadership of the Ministry of Health.</w:t>
            </w:r>
          </w:p>
        </w:tc>
        <w:tc>
          <w:tcPr>
            <w:tcW w:w="4671"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3DD82DD9" w14:textId="4AAD714D" w:rsidR="30DD2215" w:rsidRPr="00DD5DC5" w:rsidRDefault="30DD2215" w:rsidP="006E3225">
            <w:pPr>
              <w:ind w:left="144" w:right="103"/>
              <w:rPr>
                <w:sz w:val="20"/>
                <w:szCs w:val="20"/>
              </w:rPr>
            </w:pPr>
            <w:r w:rsidRPr="00DD5DC5">
              <w:rPr>
                <w:rFonts w:ascii="Calibri" w:eastAsia="Calibri" w:hAnsi="Calibri" w:cs="Calibri"/>
                <w:color w:val="000000" w:themeColor="text1"/>
                <w:sz w:val="20"/>
                <w:szCs w:val="20"/>
              </w:rPr>
              <w:t xml:space="preserve">Standby Personnel hold advisory or technical operational roles (under the supervision of a WHO staff member). </w:t>
            </w:r>
            <w:r w:rsidR="00941DCA" w:rsidRPr="00DD5DC5">
              <w:rPr>
                <w:rFonts w:ascii="Calibri" w:eastAsia="Calibri" w:hAnsi="Calibri" w:cs="Calibri"/>
                <w:color w:val="000000" w:themeColor="text1"/>
                <w:sz w:val="20"/>
                <w:szCs w:val="20"/>
              </w:rPr>
              <w:t xml:space="preserve">Standby Personnel </w:t>
            </w:r>
            <w:r w:rsidRPr="00DD5DC5">
              <w:rPr>
                <w:rFonts w:ascii="Calibri" w:eastAsia="Calibri" w:hAnsi="Calibri" w:cs="Calibri"/>
                <w:color w:val="000000" w:themeColor="text1"/>
                <w:sz w:val="20"/>
                <w:szCs w:val="20"/>
              </w:rPr>
              <w:t>cannot undertake supervisory roles or officially represent WHO.</w:t>
            </w:r>
          </w:p>
        </w:tc>
        <w:tc>
          <w:tcPr>
            <w:tcW w:w="2508" w:type="dxa"/>
            <w:tcBorders>
              <w:top w:val="nil"/>
              <w:left w:val="nil"/>
              <w:bottom w:val="single" w:sz="8" w:space="0" w:color="auto"/>
              <w:right w:val="single" w:sz="8" w:space="0" w:color="auto"/>
            </w:tcBorders>
            <w:tcMar>
              <w:top w:w="15" w:type="dxa"/>
              <w:left w:w="15" w:type="dxa"/>
              <w:right w:w="15" w:type="dxa"/>
            </w:tcMar>
          </w:tcPr>
          <w:p w14:paraId="4B7FF34A" w14:textId="09F16A5A" w:rsidR="30DD2215" w:rsidRPr="00DD5DC5" w:rsidRDefault="30DD2215" w:rsidP="006E3225">
            <w:pPr>
              <w:ind w:left="137" w:right="87"/>
              <w:rPr>
                <w:sz w:val="20"/>
                <w:szCs w:val="20"/>
              </w:rPr>
            </w:pPr>
            <w:r w:rsidRPr="00DD5DC5">
              <w:rPr>
                <w:rFonts w:ascii="Calibri" w:eastAsia="Calibri" w:hAnsi="Calibri" w:cs="Calibri"/>
                <w:color w:val="000000" w:themeColor="text1"/>
                <w:sz w:val="20"/>
                <w:szCs w:val="20"/>
              </w:rPr>
              <w:t xml:space="preserve">United Nations Volunteers hold advisory or technical operational roles (under the supervision of a WHO staff member). </w:t>
            </w:r>
            <w:r w:rsidR="00941DCA" w:rsidRPr="00DD5DC5">
              <w:rPr>
                <w:rFonts w:ascii="Calibri" w:eastAsia="Calibri" w:hAnsi="Calibri" w:cs="Calibri"/>
                <w:color w:val="000000" w:themeColor="text1"/>
                <w:sz w:val="20"/>
                <w:szCs w:val="20"/>
              </w:rPr>
              <w:t xml:space="preserve">United Nations Volunteers </w:t>
            </w:r>
            <w:r w:rsidRPr="00DD5DC5">
              <w:rPr>
                <w:rFonts w:ascii="Calibri" w:eastAsia="Calibri" w:hAnsi="Calibri" w:cs="Calibri"/>
                <w:color w:val="000000" w:themeColor="text1"/>
                <w:sz w:val="20"/>
                <w:szCs w:val="20"/>
              </w:rPr>
              <w:t>cannot undertake supervisory roles or officially represent WHO.</w:t>
            </w:r>
          </w:p>
        </w:tc>
      </w:tr>
      <w:tr w:rsidR="30DD2215" w:rsidRPr="006E3225" w14:paraId="77147C92" w14:textId="77777777" w:rsidTr="54FDED13">
        <w:tc>
          <w:tcPr>
            <w:tcW w:w="1430"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5058E904" w14:textId="417C95EE"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Status</w:t>
            </w:r>
          </w:p>
        </w:tc>
        <w:tc>
          <w:tcPr>
            <w:tcW w:w="2714"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4ABA4343" w14:textId="0A72AB5E"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Consultants are considered neither as staff members nor as officials of the Organization. They are neither “staff members” under WHO Staff Regulations and Rules nor “officials” for the purposes of the 1947 Convention on the Privileges and Immunities of the Specialized Agencies.</w:t>
            </w:r>
            <w:r w:rsidR="009A0578" w:rsidRPr="00DD5DC5">
              <w:rPr>
                <w:rFonts w:ascii="Calibri" w:eastAsia="Calibri" w:hAnsi="Calibri" w:cs="Calibri"/>
                <w:color w:val="000000" w:themeColor="text1"/>
                <w:sz w:val="20"/>
                <w:szCs w:val="20"/>
              </w:rPr>
              <w:t xml:space="preserve"> Consultants shall perform the services under the contract in a personal capacity and not as representatives of a government or any other </w:t>
            </w:r>
            <w:r w:rsidR="009A0578" w:rsidRPr="00DD5DC5">
              <w:rPr>
                <w:rFonts w:ascii="Calibri" w:eastAsia="Calibri" w:hAnsi="Calibri" w:cs="Calibri"/>
                <w:color w:val="000000" w:themeColor="text1"/>
                <w:sz w:val="20"/>
                <w:szCs w:val="20"/>
              </w:rPr>
              <w:lastRenderedPageBreak/>
              <w:t>authority external to the Organization.</w:t>
            </w:r>
          </w:p>
        </w:tc>
        <w:tc>
          <w:tcPr>
            <w:tcW w:w="2077"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36DCA055" w14:textId="23BBAC6B"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lastRenderedPageBreak/>
              <w:t>Experts identified by the GOARN Operational Support Team abide by GOARN’s code of conduct and perform their assignments in compliance with WHO's instructions, exercising the utmost discretion in matters related to their assignment.</w:t>
            </w:r>
          </w:p>
        </w:tc>
        <w:tc>
          <w:tcPr>
            <w:tcW w:w="2319" w:type="dxa"/>
            <w:tcBorders>
              <w:top w:val="single" w:sz="8" w:space="0" w:color="auto"/>
              <w:left w:val="single" w:sz="8" w:space="0" w:color="auto"/>
              <w:bottom w:val="single" w:sz="8" w:space="0" w:color="auto"/>
              <w:right w:val="single" w:sz="4" w:space="0" w:color="auto"/>
            </w:tcBorders>
            <w:tcMar>
              <w:top w:w="15" w:type="dxa"/>
              <w:left w:w="15" w:type="dxa"/>
              <w:right w:w="15" w:type="dxa"/>
            </w:tcMar>
          </w:tcPr>
          <w:p w14:paraId="75134489" w14:textId="121565DF" w:rsidR="30DD2215" w:rsidRPr="00DD5DC5" w:rsidRDefault="30DD2215" w:rsidP="006E3225">
            <w:pPr>
              <w:ind w:left="144" w:right="103"/>
              <w:rPr>
                <w:sz w:val="20"/>
                <w:szCs w:val="20"/>
              </w:rPr>
            </w:pPr>
            <w:r w:rsidRPr="00DD5DC5">
              <w:rPr>
                <w:rFonts w:ascii="Calibri" w:eastAsia="Calibri" w:hAnsi="Calibri" w:cs="Calibri"/>
                <w:color w:val="000000" w:themeColor="text1"/>
                <w:sz w:val="20"/>
                <w:szCs w:val="20"/>
              </w:rPr>
              <w:t xml:space="preserve">The </w:t>
            </w:r>
            <w:r w:rsidR="0084359C">
              <w:rPr>
                <w:rFonts w:ascii="Calibri" w:eastAsia="Calibri" w:hAnsi="Calibri" w:cs="Calibri"/>
                <w:color w:val="000000" w:themeColor="text1"/>
                <w:sz w:val="20"/>
                <w:szCs w:val="20"/>
              </w:rPr>
              <w:t>Standby Partner (</w:t>
            </w:r>
            <w:r w:rsidRPr="00DD5DC5">
              <w:rPr>
                <w:rFonts w:ascii="Calibri" w:eastAsia="Calibri" w:hAnsi="Calibri" w:cs="Calibri"/>
                <w:color w:val="000000" w:themeColor="text1"/>
                <w:sz w:val="20"/>
                <w:szCs w:val="20"/>
              </w:rPr>
              <w:t>SBP</w:t>
            </w:r>
            <w:r w:rsidR="0084359C">
              <w:rPr>
                <w:rFonts w:ascii="Calibri" w:eastAsia="Calibri" w:hAnsi="Calibri" w:cs="Calibri"/>
                <w:color w:val="000000" w:themeColor="text1"/>
                <w:sz w:val="20"/>
                <w:szCs w:val="20"/>
              </w:rPr>
              <w:t>) organization’s</w:t>
            </w:r>
            <w:r w:rsidRPr="00DD5DC5">
              <w:rPr>
                <w:rFonts w:ascii="Calibri" w:eastAsia="Calibri" w:hAnsi="Calibri" w:cs="Calibri"/>
                <w:color w:val="000000" w:themeColor="text1"/>
                <w:sz w:val="20"/>
                <w:szCs w:val="20"/>
              </w:rPr>
              <w:t xml:space="preserve"> </w:t>
            </w:r>
            <w:proofErr w:type="spellStart"/>
            <w:r w:rsidRPr="00DD5DC5">
              <w:rPr>
                <w:rFonts w:ascii="Calibri" w:eastAsia="Calibri" w:hAnsi="Calibri" w:cs="Calibri"/>
                <w:color w:val="000000" w:themeColor="text1"/>
                <w:sz w:val="20"/>
                <w:szCs w:val="20"/>
              </w:rPr>
              <w:t>deployees</w:t>
            </w:r>
            <w:proofErr w:type="spellEnd"/>
            <w:r w:rsidRPr="00DD5DC5">
              <w:rPr>
                <w:rFonts w:ascii="Calibri" w:eastAsia="Calibri" w:hAnsi="Calibri" w:cs="Calibri"/>
                <w:color w:val="000000" w:themeColor="text1"/>
                <w:sz w:val="20"/>
                <w:szCs w:val="20"/>
              </w:rPr>
              <w:t xml:space="preserve"> have the status "expert on mission". Standby Personnel must agree in writing (signed Standby Partner Undertaking form) to perform their assignments in compliance with WHO's instructions, and to exercise the utmost discretion in matters </w:t>
            </w:r>
            <w:r w:rsidRPr="00DD5DC5">
              <w:rPr>
                <w:rFonts w:ascii="Calibri" w:eastAsia="Calibri" w:hAnsi="Calibri" w:cs="Calibri"/>
                <w:color w:val="000000" w:themeColor="text1"/>
                <w:sz w:val="20"/>
                <w:szCs w:val="20"/>
              </w:rPr>
              <w:lastRenderedPageBreak/>
              <w:t xml:space="preserve">related to their assignment. </w:t>
            </w:r>
          </w:p>
        </w:tc>
        <w:tc>
          <w:tcPr>
            <w:tcW w:w="2352" w:type="dxa"/>
            <w:tcBorders>
              <w:top w:val="nil"/>
              <w:left w:val="single" w:sz="4" w:space="0" w:color="auto"/>
              <w:bottom w:val="single" w:sz="8" w:space="0" w:color="auto"/>
              <w:right w:val="single" w:sz="8" w:space="0" w:color="000000" w:themeColor="text1"/>
            </w:tcBorders>
            <w:tcMar>
              <w:top w:w="15" w:type="dxa"/>
              <w:left w:w="15" w:type="dxa"/>
              <w:right w:w="15" w:type="dxa"/>
            </w:tcMar>
          </w:tcPr>
          <w:p w14:paraId="7E738FAF" w14:textId="64B430A0" w:rsidR="30DD2215" w:rsidRPr="00DD5DC5" w:rsidRDefault="30DD2215" w:rsidP="006E3225">
            <w:pPr>
              <w:ind w:left="144" w:right="103"/>
              <w:rPr>
                <w:sz w:val="20"/>
                <w:szCs w:val="20"/>
              </w:rPr>
            </w:pPr>
            <w:r w:rsidRPr="00DD5DC5">
              <w:rPr>
                <w:rFonts w:ascii="Calibri" w:eastAsia="Calibri" w:hAnsi="Calibri" w:cs="Calibri"/>
                <w:color w:val="000000" w:themeColor="text1"/>
                <w:sz w:val="20"/>
                <w:szCs w:val="20"/>
              </w:rPr>
              <w:lastRenderedPageBreak/>
              <w:t>Under the RLA, the loaned expert has the status "consultant".</w:t>
            </w:r>
          </w:p>
        </w:tc>
        <w:tc>
          <w:tcPr>
            <w:tcW w:w="2508"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603A20D5" w14:textId="603C2571" w:rsidR="30DD2215" w:rsidRPr="00DD5DC5" w:rsidRDefault="30DD2215" w:rsidP="006E3225">
            <w:pPr>
              <w:ind w:left="137" w:right="87"/>
              <w:rPr>
                <w:sz w:val="20"/>
                <w:szCs w:val="20"/>
              </w:rPr>
            </w:pPr>
            <w:r w:rsidRPr="00DD5DC5">
              <w:rPr>
                <w:rFonts w:ascii="Calibri" w:eastAsia="Calibri" w:hAnsi="Calibri" w:cs="Calibri"/>
                <w:color w:val="000000" w:themeColor="text1"/>
                <w:sz w:val="20"/>
                <w:szCs w:val="20"/>
              </w:rPr>
              <w:t xml:space="preserve">United Nations Volunteers are not staff of the United Nations or of WHO. They serve under contract with the United Nations Volunteers </w:t>
            </w:r>
            <w:r w:rsidR="008F1AA6">
              <w:rPr>
                <w:rFonts w:ascii="Calibri" w:eastAsia="Calibri" w:hAnsi="Calibri" w:cs="Calibri"/>
                <w:color w:val="000000" w:themeColor="text1"/>
                <w:sz w:val="20"/>
                <w:szCs w:val="20"/>
              </w:rPr>
              <w:t>programme</w:t>
            </w:r>
            <w:r w:rsidR="008F1AA6" w:rsidRPr="00DD5DC5">
              <w:rPr>
                <w:rFonts w:ascii="Calibri" w:eastAsia="Calibri" w:hAnsi="Calibri" w:cs="Calibri"/>
                <w:color w:val="000000" w:themeColor="text1"/>
                <w:sz w:val="20"/>
                <w:szCs w:val="20"/>
              </w:rPr>
              <w:t xml:space="preserve"> </w:t>
            </w:r>
            <w:r w:rsidRPr="00DD5DC5">
              <w:rPr>
                <w:rFonts w:ascii="Calibri" w:eastAsia="Calibri" w:hAnsi="Calibri" w:cs="Calibri"/>
                <w:color w:val="000000" w:themeColor="text1"/>
                <w:sz w:val="20"/>
                <w:szCs w:val="20"/>
              </w:rPr>
              <w:t xml:space="preserve">and are governed by the applicable </w:t>
            </w:r>
            <w:r w:rsidR="00A40188">
              <w:rPr>
                <w:rFonts w:ascii="Calibri" w:eastAsia="Calibri" w:hAnsi="Calibri" w:cs="Calibri"/>
                <w:color w:val="000000" w:themeColor="text1"/>
                <w:sz w:val="20"/>
                <w:szCs w:val="20"/>
              </w:rPr>
              <w:t>conditions of service (</w:t>
            </w:r>
            <w:r w:rsidRPr="00DD5DC5">
              <w:rPr>
                <w:rFonts w:ascii="Calibri" w:eastAsia="Calibri" w:hAnsi="Calibri" w:cs="Calibri"/>
                <w:color w:val="000000" w:themeColor="text1"/>
                <w:sz w:val="20"/>
                <w:szCs w:val="20"/>
              </w:rPr>
              <w:t>COS</w:t>
            </w:r>
            <w:r w:rsidR="00A40188">
              <w:rPr>
                <w:rFonts w:ascii="Calibri" w:eastAsia="Calibri" w:hAnsi="Calibri" w:cs="Calibri"/>
                <w:color w:val="000000" w:themeColor="text1"/>
                <w:sz w:val="20"/>
                <w:szCs w:val="20"/>
              </w:rPr>
              <w:t>) of</w:t>
            </w:r>
            <w:r w:rsidRPr="00DD5DC5">
              <w:rPr>
                <w:rFonts w:ascii="Calibri" w:eastAsia="Calibri" w:hAnsi="Calibri" w:cs="Calibri"/>
                <w:color w:val="000000" w:themeColor="text1"/>
                <w:sz w:val="20"/>
                <w:szCs w:val="20"/>
              </w:rPr>
              <w:t xml:space="preserve"> UN Volunteers, the UNV Code of Conduct contained therein, and the </w:t>
            </w:r>
            <w:r w:rsidR="008F1AA6">
              <w:rPr>
                <w:rFonts w:ascii="Calibri" w:eastAsia="Calibri" w:hAnsi="Calibri" w:cs="Calibri"/>
                <w:color w:val="000000" w:themeColor="text1"/>
                <w:sz w:val="20"/>
                <w:szCs w:val="20"/>
              </w:rPr>
              <w:t xml:space="preserve">WHO </w:t>
            </w:r>
            <w:r w:rsidRPr="00DD5DC5">
              <w:rPr>
                <w:rFonts w:ascii="Calibri" w:eastAsia="Calibri" w:hAnsi="Calibri" w:cs="Calibri"/>
                <w:color w:val="000000" w:themeColor="text1"/>
                <w:sz w:val="20"/>
                <w:szCs w:val="20"/>
              </w:rPr>
              <w:t>Code of Ethics.</w:t>
            </w:r>
          </w:p>
        </w:tc>
      </w:tr>
      <w:tr w:rsidR="30DD2215" w:rsidRPr="006E3225" w14:paraId="25D589F4" w14:textId="77777777" w:rsidTr="54FDED13">
        <w:trPr>
          <w:trHeight w:val="244"/>
        </w:trPr>
        <w:tc>
          <w:tcPr>
            <w:tcW w:w="1430"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6CC9C1F6" w14:textId="262D00D9"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Contractual relationship</w:t>
            </w:r>
          </w:p>
        </w:tc>
        <w:tc>
          <w:tcPr>
            <w:tcW w:w="2714"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4608301A" w14:textId="29B27D63"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Hired on a consultant contract</w:t>
            </w:r>
          </w:p>
        </w:tc>
        <w:tc>
          <w:tcPr>
            <w:tcW w:w="2077"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3754FBD5" w14:textId="193A58E9"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Experts deployed through GOARN are issued a standard, WHO short-term, consultant contract without remuneration. The contract has a nominal value of USD 1.</w:t>
            </w:r>
          </w:p>
        </w:tc>
        <w:tc>
          <w:tcPr>
            <w:tcW w:w="2319"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1BA839C5" w14:textId="44A9EEEA" w:rsidR="30DD2215" w:rsidRPr="00DD5DC5" w:rsidRDefault="30DD2215" w:rsidP="006E3225">
            <w:pPr>
              <w:ind w:left="144" w:right="103"/>
              <w:rPr>
                <w:sz w:val="20"/>
                <w:szCs w:val="20"/>
              </w:rPr>
            </w:pPr>
            <w:r w:rsidRPr="00DD5DC5">
              <w:rPr>
                <w:rFonts w:ascii="Calibri" w:eastAsia="Calibri" w:hAnsi="Calibri" w:cs="Calibri"/>
                <w:color w:val="000000" w:themeColor="text1"/>
                <w:sz w:val="20"/>
                <w:szCs w:val="20"/>
              </w:rPr>
              <w:t>No direct contractual link exists between Standby Personnel and WHO. Standby Personnel have a formal contract with the Standby Partner only. Standby Partner Personnel sign Undertaking form which is shared with WHO.</w:t>
            </w:r>
          </w:p>
        </w:tc>
        <w:tc>
          <w:tcPr>
            <w:tcW w:w="2352"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5ADB138B" w14:textId="7E753C6F" w:rsidR="30DD2215" w:rsidRPr="00DD5DC5" w:rsidRDefault="30DD2215" w:rsidP="006E3225">
            <w:pPr>
              <w:ind w:left="144" w:right="103"/>
              <w:rPr>
                <w:sz w:val="20"/>
                <w:szCs w:val="20"/>
              </w:rPr>
            </w:pPr>
            <w:r w:rsidRPr="00DD5DC5">
              <w:rPr>
                <w:rFonts w:ascii="Calibri" w:eastAsia="Calibri" w:hAnsi="Calibri" w:cs="Calibri"/>
                <w:color w:val="000000" w:themeColor="text1"/>
                <w:sz w:val="20"/>
                <w:szCs w:val="20"/>
              </w:rPr>
              <w:t xml:space="preserve">Under RLA, WHO signs the contract with the SBP organization for the loaning of the expert(s) and WHO covers all costs based on the budget submitted by SBP and agreed by WHO (which includes salary, insurance, travel 7% management fee). The </w:t>
            </w:r>
            <w:proofErr w:type="spellStart"/>
            <w:r w:rsidRPr="00DD5DC5">
              <w:rPr>
                <w:rFonts w:ascii="Calibri" w:eastAsia="Calibri" w:hAnsi="Calibri" w:cs="Calibri"/>
                <w:color w:val="000000" w:themeColor="text1"/>
                <w:sz w:val="20"/>
                <w:szCs w:val="20"/>
              </w:rPr>
              <w:t>deployees</w:t>
            </w:r>
            <w:proofErr w:type="spellEnd"/>
            <w:r w:rsidRPr="00DD5DC5">
              <w:rPr>
                <w:rFonts w:ascii="Calibri" w:eastAsia="Calibri" w:hAnsi="Calibri" w:cs="Calibri"/>
                <w:color w:val="000000" w:themeColor="text1"/>
                <w:sz w:val="20"/>
                <w:szCs w:val="20"/>
              </w:rPr>
              <w:t xml:space="preserve"> have a direct contract with the SBP organization.</w:t>
            </w:r>
          </w:p>
        </w:tc>
        <w:tc>
          <w:tcPr>
            <w:tcW w:w="2508"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56264724" w14:textId="729C6D1A" w:rsidR="30DD2215" w:rsidRPr="00DD5DC5" w:rsidRDefault="30DD2215" w:rsidP="006E3225">
            <w:pPr>
              <w:ind w:left="137" w:right="87"/>
              <w:rPr>
                <w:sz w:val="20"/>
                <w:szCs w:val="20"/>
              </w:rPr>
            </w:pPr>
            <w:r w:rsidRPr="00DD5DC5">
              <w:rPr>
                <w:rFonts w:ascii="Calibri" w:eastAsia="Calibri" w:hAnsi="Calibri" w:cs="Calibri"/>
                <w:color w:val="000000" w:themeColor="text1"/>
                <w:sz w:val="20"/>
                <w:szCs w:val="20"/>
              </w:rPr>
              <w:t xml:space="preserve">United Nations Volunteers serve under contract with the United Nations Volunteers </w:t>
            </w:r>
            <w:r w:rsidR="00A40188">
              <w:rPr>
                <w:rFonts w:ascii="Calibri" w:eastAsia="Calibri" w:hAnsi="Calibri" w:cs="Calibri"/>
                <w:color w:val="000000" w:themeColor="text1"/>
                <w:sz w:val="20"/>
                <w:szCs w:val="20"/>
              </w:rPr>
              <w:t>programme</w:t>
            </w:r>
            <w:r w:rsidRPr="00DD5DC5">
              <w:rPr>
                <w:rFonts w:ascii="Calibri" w:eastAsia="Calibri" w:hAnsi="Calibri" w:cs="Calibri"/>
                <w:color w:val="000000" w:themeColor="text1"/>
                <w:sz w:val="20"/>
                <w:szCs w:val="20"/>
              </w:rPr>
              <w:t>.</w:t>
            </w:r>
          </w:p>
        </w:tc>
      </w:tr>
      <w:tr w:rsidR="30DD2215" w:rsidRPr="006E3225" w14:paraId="512E3408" w14:textId="77777777" w:rsidTr="54FDED13">
        <w:trPr>
          <w:trHeight w:val="244"/>
        </w:trPr>
        <w:tc>
          <w:tcPr>
            <w:tcW w:w="1430" w:type="dxa"/>
            <w:vMerge/>
          </w:tcPr>
          <w:p w14:paraId="30F959B1" w14:textId="77777777" w:rsidR="000B6F0A" w:rsidRPr="00DD5DC5" w:rsidRDefault="000B6F0A" w:rsidP="006E3225">
            <w:pPr>
              <w:ind w:left="65" w:right="82"/>
              <w:rPr>
                <w:sz w:val="20"/>
                <w:szCs w:val="20"/>
              </w:rPr>
            </w:pPr>
          </w:p>
        </w:tc>
        <w:tc>
          <w:tcPr>
            <w:tcW w:w="2714" w:type="dxa"/>
            <w:vMerge/>
          </w:tcPr>
          <w:p w14:paraId="53D7A031" w14:textId="77777777" w:rsidR="000B6F0A" w:rsidRPr="00DD5DC5" w:rsidRDefault="000B6F0A" w:rsidP="006E3225">
            <w:pPr>
              <w:ind w:left="68" w:right="89"/>
              <w:rPr>
                <w:sz w:val="20"/>
                <w:szCs w:val="20"/>
              </w:rPr>
            </w:pPr>
          </w:p>
        </w:tc>
        <w:tc>
          <w:tcPr>
            <w:tcW w:w="2077" w:type="dxa"/>
            <w:vMerge/>
          </w:tcPr>
          <w:p w14:paraId="1175A374" w14:textId="77777777" w:rsidR="000B6F0A" w:rsidRPr="00DD5DC5" w:rsidRDefault="000B6F0A" w:rsidP="006E3225">
            <w:pPr>
              <w:ind w:left="61" w:right="96"/>
              <w:rPr>
                <w:sz w:val="20"/>
                <w:szCs w:val="20"/>
              </w:rPr>
            </w:pPr>
          </w:p>
        </w:tc>
        <w:tc>
          <w:tcPr>
            <w:tcW w:w="2319" w:type="dxa"/>
            <w:vMerge/>
          </w:tcPr>
          <w:p w14:paraId="35F61D26" w14:textId="77777777" w:rsidR="000B6F0A" w:rsidRPr="00DD5DC5" w:rsidRDefault="000B6F0A" w:rsidP="006E3225">
            <w:pPr>
              <w:ind w:left="144" w:right="103"/>
              <w:rPr>
                <w:sz w:val="20"/>
                <w:szCs w:val="20"/>
              </w:rPr>
            </w:pPr>
          </w:p>
        </w:tc>
        <w:tc>
          <w:tcPr>
            <w:tcW w:w="2352" w:type="dxa"/>
            <w:vMerge/>
          </w:tcPr>
          <w:p w14:paraId="5B4194C7" w14:textId="77777777" w:rsidR="000B6F0A" w:rsidRPr="00DD5DC5" w:rsidRDefault="000B6F0A" w:rsidP="006E3225">
            <w:pPr>
              <w:ind w:left="144" w:right="103"/>
              <w:rPr>
                <w:sz w:val="20"/>
                <w:szCs w:val="20"/>
              </w:rPr>
            </w:pPr>
          </w:p>
        </w:tc>
        <w:tc>
          <w:tcPr>
            <w:tcW w:w="2508" w:type="dxa"/>
            <w:vMerge/>
          </w:tcPr>
          <w:p w14:paraId="467AB1CE" w14:textId="77777777" w:rsidR="000B6F0A" w:rsidRPr="00DD5DC5" w:rsidRDefault="000B6F0A" w:rsidP="006E3225">
            <w:pPr>
              <w:ind w:left="137" w:right="87"/>
              <w:rPr>
                <w:sz w:val="20"/>
                <w:szCs w:val="20"/>
              </w:rPr>
            </w:pPr>
          </w:p>
        </w:tc>
      </w:tr>
      <w:tr w:rsidR="30DD2215" w:rsidRPr="006E3225" w14:paraId="65BE3A22" w14:textId="77777777" w:rsidTr="54FDED13">
        <w:trPr>
          <w:trHeight w:val="244"/>
        </w:trPr>
        <w:tc>
          <w:tcPr>
            <w:tcW w:w="1430" w:type="dxa"/>
            <w:vMerge/>
          </w:tcPr>
          <w:p w14:paraId="154769EF" w14:textId="77777777" w:rsidR="000B6F0A" w:rsidRPr="00DD5DC5" w:rsidRDefault="000B6F0A" w:rsidP="006E3225">
            <w:pPr>
              <w:ind w:left="65" w:right="82"/>
              <w:rPr>
                <w:sz w:val="20"/>
                <w:szCs w:val="20"/>
              </w:rPr>
            </w:pPr>
          </w:p>
        </w:tc>
        <w:tc>
          <w:tcPr>
            <w:tcW w:w="2714" w:type="dxa"/>
            <w:vMerge/>
          </w:tcPr>
          <w:p w14:paraId="744052AE" w14:textId="77777777" w:rsidR="000B6F0A" w:rsidRPr="00DD5DC5" w:rsidRDefault="000B6F0A" w:rsidP="006E3225">
            <w:pPr>
              <w:ind w:left="68" w:right="89"/>
              <w:rPr>
                <w:sz w:val="20"/>
                <w:szCs w:val="20"/>
              </w:rPr>
            </w:pPr>
          </w:p>
        </w:tc>
        <w:tc>
          <w:tcPr>
            <w:tcW w:w="2077" w:type="dxa"/>
            <w:vMerge/>
          </w:tcPr>
          <w:p w14:paraId="323FAD11" w14:textId="77777777" w:rsidR="000B6F0A" w:rsidRPr="00DD5DC5" w:rsidRDefault="000B6F0A" w:rsidP="006E3225">
            <w:pPr>
              <w:ind w:left="61" w:right="96"/>
              <w:rPr>
                <w:sz w:val="20"/>
                <w:szCs w:val="20"/>
              </w:rPr>
            </w:pPr>
          </w:p>
        </w:tc>
        <w:tc>
          <w:tcPr>
            <w:tcW w:w="2319" w:type="dxa"/>
            <w:vMerge/>
          </w:tcPr>
          <w:p w14:paraId="56ED3EB9" w14:textId="77777777" w:rsidR="000B6F0A" w:rsidRPr="00DD5DC5" w:rsidRDefault="000B6F0A" w:rsidP="006E3225">
            <w:pPr>
              <w:ind w:left="144" w:right="103"/>
              <w:rPr>
                <w:sz w:val="20"/>
                <w:szCs w:val="20"/>
              </w:rPr>
            </w:pPr>
          </w:p>
        </w:tc>
        <w:tc>
          <w:tcPr>
            <w:tcW w:w="2352" w:type="dxa"/>
            <w:vMerge/>
          </w:tcPr>
          <w:p w14:paraId="39FE07B7" w14:textId="77777777" w:rsidR="000B6F0A" w:rsidRPr="00DD5DC5" w:rsidRDefault="000B6F0A" w:rsidP="006E3225">
            <w:pPr>
              <w:ind w:left="144" w:right="103"/>
              <w:rPr>
                <w:sz w:val="20"/>
                <w:szCs w:val="20"/>
              </w:rPr>
            </w:pPr>
          </w:p>
        </w:tc>
        <w:tc>
          <w:tcPr>
            <w:tcW w:w="2508" w:type="dxa"/>
            <w:vMerge/>
          </w:tcPr>
          <w:p w14:paraId="0B917D1F" w14:textId="77777777" w:rsidR="000B6F0A" w:rsidRPr="00DD5DC5" w:rsidRDefault="000B6F0A" w:rsidP="006E3225">
            <w:pPr>
              <w:ind w:left="137" w:right="87"/>
              <w:rPr>
                <w:sz w:val="20"/>
                <w:szCs w:val="20"/>
              </w:rPr>
            </w:pPr>
          </w:p>
        </w:tc>
      </w:tr>
      <w:tr w:rsidR="30DD2215" w:rsidRPr="006E3225" w14:paraId="72C21B8C" w14:textId="77777777" w:rsidTr="54FDED13">
        <w:trPr>
          <w:trHeight w:val="244"/>
        </w:trPr>
        <w:tc>
          <w:tcPr>
            <w:tcW w:w="1430" w:type="dxa"/>
            <w:vMerge/>
          </w:tcPr>
          <w:p w14:paraId="5082A74E" w14:textId="77777777" w:rsidR="000B6F0A" w:rsidRPr="00DD5DC5" w:rsidRDefault="000B6F0A" w:rsidP="006E3225">
            <w:pPr>
              <w:ind w:left="65" w:right="82"/>
              <w:rPr>
                <w:sz w:val="20"/>
                <w:szCs w:val="20"/>
              </w:rPr>
            </w:pPr>
          </w:p>
        </w:tc>
        <w:tc>
          <w:tcPr>
            <w:tcW w:w="2714" w:type="dxa"/>
            <w:vMerge/>
          </w:tcPr>
          <w:p w14:paraId="37B2CE61" w14:textId="77777777" w:rsidR="000B6F0A" w:rsidRPr="00DD5DC5" w:rsidRDefault="000B6F0A" w:rsidP="006E3225">
            <w:pPr>
              <w:ind w:left="68" w:right="89"/>
              <w:rPr>
                <w:sz w:val="20"/>
                <w:szCs w:val="20"/>
              </w:rPr>
            </w:pPr>
          </w:p>
        </w:tc>
        <w:tc>
          <w:tcPr>
            <w:tcW w:w="2077" w:type="dxa"/>
            <w:vMerge/>
          </w:tcPr>
          <w:p w14:paraId="7F3DFAB9" w14:textId="77777777" w:rsidR="000B6F0A" w:rsidRPr="00DD5DC5" w:rsidRDefault="000B6F0A" w:rsidP="006E3225">
            <w:pPr>
              <w:ind w:left="61" w:right="96"/>
              <w:rPr>
                <w:sz w:val="20"/>
                <w:szCs w:val="20"/>
              </w:rPr>
            </w:pPr>
          </w:p>
        </w:tc>
        <w:tc>
          <w:tcPr>
            <w:tcW w:w="2319" w:type="dxa"/>
            <w:vMerge/>
          </w:tcPr>
          <w:p w14:paraId="3E5F9C53" w14:textId="77777777" w:rsidR="000B6F0A" w:rsidRPr="00DD5DC5" w:rsidRDefault="000B6F0A" w:rsidP="006E3225">
            <w:pPr>
              <w:ind w:left="144" w:right="103"/>
              <w:rPr>
                <w:sz w:val="20"/>
                <w:szCs w:val="20"/>
              </w:rPr>
            </w:pPr>
          </w:p>
        </w:tc>
        <w:tc>
          <w:tcPr>
            <w:tcW w:w="2352" w:type="dxa"/>
            <w:vMerge/>
          </w:tcPr>
          <w:p w14:paraId="0E17D198" w14:textId="77777777" w:rsidR="000B6F0A" w:rsidRPr="00DD5DC5" w:rsidRDefault="000B6F0A" w:rsidP="006E3225">
            <w:pPr>
              <w:ind w:left="144" w:right="103"/>
              <w:rPr>
                <w:sz w:val="20"/>
                <w:szCs w:val="20"/>
              </w:rPr>
            </w:pPr>
          </w:p>
        </w:tc>
        <w:tc>
          <w:tcPr>
            <w:tcW w:w="2508" w:type="dxa"/>
            <w:vMerge/>
          </w:tcPr>
          <w:p w14:paraId="1A546A72" w14:textId="77777777" w:rsidR="000B6F0A" w:rsidRPr="00DD5DC5" w:rsidRDefault="000B6F0A" w:rsidP="006E3225">
            <w:pPr>
              <w:ind w:left="137" w:right="87"/>
              <w:rPr>
                <w:sz w:val="20"/>
                <w:szCs w:val="20"/>
              </w:rPr>
            </w:pPr>
          </w:p>
        </w:tc>
      </w:tr>
      <w:tr w:rsidR="30DD2215" w:rsidRPr="006E3225" w14:paraId="1B2CD819" w14:textId="77777777" w:rsidTr="54FDED13">
        <w:tc>
          <w:tcPr>
            <w:tcW w:w="1430" w:type="dxa"/>
            <w:tcBorders>
              <w:top w:val="nil"/>
              <w:left w:val="single" w:sz="8" w:space="0" w:color="auto"/>
              <w:bottom w:val="single" w:sz="8" w:space="0" w:color="auto"/>
              <w:right w:val="single" w:sz="8" w:space="0" w:color="auto"/>
            </w:tcBorders>
            <w:tcMar>
              <w:top w:w="15" w:type="dxa"/>
              <w:left w:w="15" w:type="dxa"/>
              <w:right w:w="15" w:type="dxa"/>
            </w:tcMar>
          </w:tcPr>
          <w:p w14:paraId="65A560D2" w14:textId="26E0E51E"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Length of Deployment</w:t>
            </w:r>
          </w:p>
        </w:tc>
        <w:tc>
          <w:tcPr>
            <w:tcW w:w="2714" w:type="dxa"/>
            <w:tcBorders>
              <w:top w:val="nil"/>
              <w:left w:val="single" w:sz="8" w:space="0" w:color="auto"/>
              <w:bottom w:val="single" w:sz="8" w:space="0" w:color="auto"/>
              <w:right w:val="single" w:sz="8" w:space="0" w:color="auto"/>
            </w:tcBorders>
            <w:shd w:val="clear" w:color="auto" w:fill="auto"/>
            <w:tcMar>
              <w:top w:w="15" w:type="dxa"/>
              <w:left w:w="15" w:type="dxa"/>
              <w:right w:w="15" w:type="dxa"/>
            </w:tcMar>
          </w:tcPr>
          <w:p w14:paraId="613F85A5" w14:textId="3AC02406" w:rsidR="006D438A" w:rsidRPr="00DD5DC5" w:rsidRDefault="30DD2215" w:rsidP="006D438A">
            <w:pPr>
              <w:ind w:left="68" w:right="89"/>
              <w:rPr>
                <w:rFonts w:ascii="Calibri" w:eastAsia="Calibri" w:hAnsi="Calibri" w:cs="Calibri"/>
                <w:color w:val="000000" w:themeColor="text1"/>
                <w:sz w:val="20"/>
                <w:szCs w:val="20"/>
              </w:rPr>
            </w:pPr>
            <w:r w:rsidRPr="00CE20C1">
              <w:rPr>
                <w:rFonts w:ascii="Calibri" w:eastAsia="Calibri" w:hAnsi="Calibri" w:cs="Calibri"/>
                <w:color w:val="000000" w:themeColor="text1"/>
                <w:sz w:val="20"/>
                <w:szCs w:val="20"/>
              </w:rPr>
              <w:t xml:space="preserve">Can be hired for </w:t>
            </w:r>
            <w:r w:rsidR="006D438A" w:rsidRPr="00CE20C1">
              <w:rPr>
                <w:rFonts w:ascii="Calibri" w:eastAsia="Calibri" w:hAnsi="Calibri" w:cs="Calibri"/>
                <w:color w:val="000000" w:themeColor="text1"/>
                <w:sz w:val="20"/>
                <w:szCs w:val="20"/>
              </w:rPr>
              <w:t>up to 22 months in a 24-months period.</w:t>
            </w:r>
          </w:p>
        </w:tc>
        <w:tc>
          <w:tcPr>
            <w:tcW w:w="2077" w:type="dxa"/>
            <w:tcBorders>
              <w:top w:val="nil"/>
              <w:left w:val="single" w:sz="8" w:space="0" w:color="auto"/>
              <w:bottom w:val="single" w:sz="8" w:space="0" w:color="auto"/>
              <w:right w:val="single" w:sz="8" w:space="0" w:color="auto"/>
            </w:tcBorders>
            <w:tcMar>
              <w:top w:w="15" w:type="dxa"/>
              <w:left w:w="15" w:type="dxa"/>
              <w:right w:w="15" w:type="dxa"/>
            </w:tcMar>
          </w:tcPr>
          <w:p w14:paraId="28C44CF6" w14:textId="4F3C29AA" w:rsidR="30DD2215" w:rsidRPr="00DD5DC5" w:rsidRDefault="30DD2215" w:rsidP="006E3225">
            <w:pPr>
              <w:ind w:left="61" w:right="96"/>
              <w:rPr>
                <w:sz w:val="20"/>
                <w:szCs w:val="20"/>
              </w:rPr>
            </w:pPr>
            <w:r w:rsidRPr="00DD5DC5">
              <w:rPr>
                <w:rFonts w:ascii="Calibri" w:eastAsia="Calibri" w:hAnsi="Calibri" w:cs="Calibri"/>
                <w:sz w:val="20"/>
                <w:szCs w:val="20"/>
              </w:rPr>
              <w:t>GOARN experts deploy initially for a period of between four to six weeks, but can be extended.</w:t>
            </w:r>
          </w:p>
        </w:tc>
        <w:tc>
          <w:tcPr>
            <w:tcW w:w="4671"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09984059" w14:textId="5E7327CE" w:rsidR="30DD2215" w:rsidRPr="00DD5DC5" w:rsidRDefault="30DD2215" w:rsidP="00941DCA">
            <w:pPr>
              <w:ind w:left="53" w:right="103"/>
              <w:rPr>
                <w:sz w:val="20"/>
                <w:szCs w:val="20"/>
              </w:rPr>
            </w:pPr>
            <w:r w:rsidRPr="00DD5DC5">
              <w:rPr>
                <w:rFonts w:ascii="Calibri" w:eastAsia="Calibri" w:hAnsi="Calibri" w:cs="Calibri"/>
                <w:sz w:val="20"/>
                <w:szCs w:val="20"/>
              </w:rPr>
              <w:t>Standby Personnel are usually deployed for an initial period of  three to six months, but can be extended.</w:t>
            </w:r>
          </w:p>
        </w:tc>
        <w:tc>
          <w:tcPr>
            <w:tcW w:w="2508" w:type="dxa"/>
            <w:tcBorders>
              <w:top w:val="nil"/>
              <w:left w:val="nil"/>
              <w:bottom w:val="single" w:sz="8" w:space="0" w:color="auto"/>
              <w:right w:val="single" w:sz="8" w:space="0" w:color="auto"/>
            </w:tcBorders>
            <w:tcMar>
              <w:top w:w="15" w:type="dxa"/>
              <w:left w:w="15" w:type="dxa"/>
              <w:right w:w="15" w:type="dxa"/>
            </w:tcMar>
          </w:tcPr>
          <w:p w14:paraId="69F5C34F" w14:textId="084859A2" w:rsidR="30DD2215" w:rsidRPr="00DD5DC5" w:rsidRDefault="30DD2215" w:rsidP="00941DCA">
            <w:pPr>
              <w:ind w:left="69" w:right="87"/>
              <w:rPr>
                <w:sz w:val="20"/>
                <w:szCs w:val="20"/>
              </w:rPr>
            </w:pPr>
            <w:r w:rsidRPr="4177EE33">
              <w:rPr>
                <w:rFonts w:ascii="Calibri" w:eastAsia="Calibri" w:hAnsi="Calibri" w:cs="Calibri"/>
                <w:color w:val="000000" w:themeColor="text1"/>
                <w:sz w:val="20"/>
                <w:szCs w:val="20"/>
              </w:rPr>
              <w:t xml:space="preserve">United Nations Volunteers can deploy for </w:t>
            </w:r>
            <w:r w:rsidR="00BE0B2A" w:rsidRPr="4177EE33">
              <w:rPr>
                <w:rFonts w:ascii="Calibri" w:eastAsia="Calibri" w:hAnsi="Calibri" w:cs="Calibri"/>
                <w:color w:val="000000" w:themeColor="text1"/>
                <w:sz w:val="20"/>
                <w:szCs w:val="20"/>
              </w:rPr>
              <w:t>assignments of</w:t>
            </w:r>
            <w:r w:rsidRPr="4177EE33">
              <w:rPr>
                <w:rFonts w:ascii="Calibri" w:eastAsia="Calibri" w:hAnsi="Calibri" w:cs="Calibri"/>
                <w:color w:val="000000" w:themeColor="text1"/>
                <w:sz w:val="20"/>
                <w:szCs w:val="20"/>
              </w:rPr>
              <w:t xml:space="preserve"> </w:t>
            </w:r>
            <w:r w:rsidR="00BE0B2A" w:rsidRPr="4177EE33">
              <w:rPr>
                <w:rFonts w:ascii="Calibri" w:eastAsia="Calibri" w:hAnsi="Calibri" w:cs="Calibri"/>
                <w:color w:val="000000" w:themeColor="text1"/>
                <w:sz w:val="20"/>
                <w:szCs w:val="20"/>
              </w:rPr>
              <w:t xml:space="preserve">three </w:t>
            </w:r>
            <w:r w:rsidRPr="4177EE33">
              <w:rPr>
                <w:rFonts w:ascii="Calibri" w:eastAsia="Calibri" w:hAnsi="Calibri" w:cs="Calibri"/>
                <w:color w:val="000000" w:themeColor="text1"/>
                <w:sz w:val="20"/>
                <w:szCs w:val="20"/>
              </w:rPr>
              <w:t>to twelve months. Can be extended.</w:t>
            </w:r>
          </w:p>
        </w:tc>
      </w:tr>
      <w:tr w:rsidR="30DD2215" w:rsidRPr="006E3225" w14:paraId="1A4EA8E8"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F6EF121" w14:textId="365D3048" w:rsidR="30DD2215" w:rsidRPr="00DD5DC5" w:rsidRDefault="30DD2215" w:rsidP="00941DCA">
            <w:pPr>
              <w:ind w:left="65" w:right="82"/>
              <w:rPr>
                <w:sz w:val="20"/>
                <w:szCs w:val="20"/>
              </w:rPr>
            </w:pPr>
            <w:r w:rsidRPr="00DD5DC5">
              <w:rPr>
                <w:rFonts w:ascii="Calibri" w:eastAsia="Calibri" w:hAnsi="Calibri" w:cs="Calibri"/>
                <w:b/>
                <w:bCs/>
                <w:color w:val="000000" w:themeColor="text1"/>
                <w:sz w:val="20"/>
                <w:szCs w:val="20"/>
              </w:rPr>
              <w:t>Remuneration</w:t>
            </w:r>
          </w:p>
        </w:tc>
        <w:tc>
          <w:tcPr>
            <w:tcW w:w="2714"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1DAD9A67" w14:textId="41BEC10D" w:rsidR="00CE20C1" w:rsidRPr="009A35EE" w:rsidRDefault="78B00A6D" w:rsidP="54FDED13">
            <w:pPr>
              <w:ind w:right="89"/>
              <w:rPr>
                <w:rFonts w:ascii="Calibri" w:eastAsia="Calibri" w:hAnsi="Calibri" w:cs="Calibri"/>
                <w:sz w:val="20"/>
                <w:szCs w:val="20"/>
              </w:rPr>
            </w:pPr>
            <w:r w:rsidRPr="54FDED13">
              <w:rPr>
                <w:rFonts w:ascii="Calibri" w:eastAsia="Calibri" w:hAnsi="Calibri" w:cs="Calibri"/>
                <w:sz w:val="20"/>
                <w:szCs w:val="20"/>
              </w:rPr>
              <w:t>Emergency consultancy rates (based on grades</w:t>
            </w:r>
            <w:r w:rsidR="58027D06" w:rsidRPr="54FDED13">
              <w:rPr>
                <w:rFonts w:ascii="Calibri" w:eastAsia="Calibri" w:hAnsi="Calibri" w:cs="Calibri"/>
                <w:sz w:val="20"/>
                <w:szCs w:val="20"/>
              </w:rPr>
              <w:t xml:space="preserve"> </w:t>
            </w:r>
            <w:r w:rsidR="2063B56C" w:rsidRPr="54FDED13">
              <w:rPr>
                <w:rFonts w:ascii="Calibri" w:eastAsia="Calibri" w:hAnsi="Calibri" w:cs="Calibri"/>
                <w:sz w:val="20"/>
                <w:szCs w:val="20"/>
              </w:rPr>
              <w:t>a</w:t>
            </w:r>
            <w:r w:rsidRPr="54FDED13">
              <w:rPr>
                <w:rFonts w:ascii="Calibri" w:eastAsia="Calibri" w:hAnsi="Calibri" w:cs="Calibri"/>
                <w:sz w:val="20"/>
                <w:szCs w:val="20"/>
              </w:rPr>
              <w:t xml:space="preserve">nd </w:t>
            </w:r>
            <w:r w:rsidR="62E69663" w:rsidRPr="54FDED13">
              <w:rPr>
                <w:rFonts w:ascii="Calibri" w:eastAsia="Calibri" w:hAnsi="Calibri" w:cs="Calibri"/>
                <w:sz w:val="20"/>
                <w:szCs w:val="20"/>
              </w:rPr>
              <w:t>3</w:t>
            </w:r>
            <w:r w:rsidRPr="54FDED13">
              <w:rPr>
                <w:rFonts w:ascii="Calibri" w:eastAsia="Calibri" w:hAnsi="Calibri" w:cs="Calibri"/>
                <w:sz w:val="20"/>
                <w:szCs w:val="20"/>
              </w:rPr>
              <w:t xml:space="preserve">0 </w:t>
            </w:r>
            <w:r w:rsidR="733C6ED5" w:rsidRPr="54FDED13">
              <w:rPr>
                <w:rFonts w:ascii="Calibri" w:eastAsia="Calibri" w:hAnsi="Calibri" w:cs="Calibri"/>
                <w:sz w:val="20"/>
                <w:szCs w:val="20"/>
              </w:rPr>
              <w:t>calendar</w:t>
            </w:r>
            <w:r w:rsidR="67D3D6E0" w:rsidRPr="54FDED13">
              <w:rPr>
                <w:rFonts w:ascii="Calibri" w:eastAsia="Calibri" w:hAnsi="Calibri" w:cs="Calibri"/>
                <w:sz w:val="20"/>
                <w:szCs w:val="20"/>
              </w:rPr>
              <w:t>/working</w:t>
            </w:r>
            <w:r w:rsidR="733C6ED5" w:rsidRPr="54FDED13">
              <w:rPr>
                <w:rFonts w:ascii="Calibri" w:eastAsia="Calibri" w:hAnsi="Calibri" w:cs="Calibri"/>
                <w:sz w:val="20"/>
                <w:szCs w:val="20"/>
              </w:rPr>
              <w:t xml:space="preserve"> </w:t>
            </w:r>
            <w:r w:rsidRPr="54FDED13">
              <w:rPr>
                <w:rFonts w:ascii="Calibri" w:eastAsia="Calibri" w:hAnsi="Calibri" w:cs="Calibri"/>
                <w:sz w:val="20"/>
                <w:szCs w:val="20"/>
              </w:rPr>
              <w:t xml:space="preserve"> days</w:t>
            </w:r>
            <w:r w:rsidR="4254E227" w:rsidRPr="54FDED13">
              <w:rPr>
                <w:rFonts w:ascii="Calibri" w:eastAsia="Calibri" w:hAnsi="Calibri" w:cs="Calibri"/>
                <w:sz w:val="20"/>
                <w:szCs w:val="20"/>
              </w:rPr>
              <w:t xml:space="preserve"> per month</w:t>
            </w:r>
            <w:r w:rsidRPr="54FDED13">
              <w:rPr>
                <w:rFonts w:ascii="Calibri" w:eastAsia="Calibri" w:hAnsi="Calibri" w:cs="Calibri"/>
                <w:sz w:val="20"/>
                <w:szCs w:val="20"/>
              </w:rPr>
              <w:t>)</w:t>
            </w:r>
            <w:r w:rsidR="2C8802B6" w:rsidRPr="54FDED13">
              <w:rPr>
                <w:rFonts w:ascii="Calibri" w:eastAsia="Calibri" w:hAnsi="Calibri" w:cs="Calibri"/>
                <w:sz w:val="20"/>
                <w:szCs w:val="20"/>
              </w:rPr>
              <w:t>.</w:t>
            </w:r>
          </w:p>
          <w:p w14:paraId="3E147BAE" w14:textId="77777777" w:rsidR="009A35EE" w:rsidRDefault="009A35EE" w:rsidP="006E3225">
            <w:pPr>
              <w:ind w:left="68" w:right="89"/>
              <w:rPr>
                <w:rFonts w:ascii="Calibri" w:eastAsia="Calibri" w:hAnsi="Calibri" w:cs="Calibri"/>
                <w:sz w:val="20"/>
                <w:szCs w:val="20"/>
              </w:rPr>
            </w:pPr>
          </w:p>
          <w:p w14:paraId="670EF598" w14:textId="5A8F148E" w:rsidR="009A35EE" w:rsidRPr="00DD5DC5" w:rsidRDefault="009A35EE" w:rsidP="00CE20C1">
            <w:pPr>
              <w:ind w:right="89"/>
              <w:rPr>
                <w:sz w:val="20"/>
                <w:szCs w:val="20"/>
              </w:rPr>
            </w:pPr>
          </w:p>
        </w:tc>
        <w:tc>
          <w:tcPr>
            <w:tcW w:w="2077"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08E9A1A1" w14:textId="4F48D8B0"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 xml:space="preserve">The GOARN Partner Institution continues to pay the salary and benefits to the expert released for deployment. </w:t>
            </w:r>
          </w:p>
        </w:tc>
        <w:tc>
          <w:tcPr>
            <w:tcW w:w="2319"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14B8E89E" w14:textId="574DAF82"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 xml:space="preserve">Paid by </w:t>
            </w:r>
            <w:r w:rsidR="0084359C">
              <w:rPr>
                <w:rFonts w:ascii="Calibri" w:eastAsia="Calibri" w:hAnsi="Calibri" w:cs="Calibri"/>
                <w:color w:val="000000" w:themeColor="text1"/>
                <w:sz w:val="20"/>
                <w:szCs w:val="20"/>
              </w:rPr>
              <w:t>SBP organization.</w:t>
            </w:r>
          </w:p>
        </w:tc>
        <w:tc>
          <w:tcPr>
            <w:tcW w:w="2352" w:type="dxa"/>
            <w:tcBorders>
              <w:top w:val="nil"/>
              <w:left w:val="single" w:sz="8" w:space="0" w:color="auto"/>
              <w:bottom w:val="single" w:sz="8" w:space="0" w:color="auto"/>
              <w:right w:val="single" w:sz="8" w:space="0" w:color="000000" w:themeColor="text1"/>
            </w:tcBorders>
            <w:tcMar>
              <w:top w:w="15" w:type="dxa"/>
              <w:left w:w="15" w:type="dxa"/>
              <w:right w:w="15" w:type="dxa"/>
            </w:tcMar>
          </w:tcPr>
          <w:p w14:paraId="7BB6BBCB" w14:textId="4C7D2301" w:rsidR="30DD2215" w:rsidRPr="00DD5DC5" w:rsidRDefault="30DD2215" w:rsidP="00941DCA">
            <w:pPr>
              <w:ind w:left="81" w:right="103"/>
              <w:rPr>
                <w:sz w:val="20"/>
                <w:szCs w:val="20"/>
              </w:rPr>
            </w:pPr>
            <w:r w:rsidRPr="00DD5DC5">
              <w:rPr>
                <w:rFonts w:ascii="Calibri" w:eastAsia="Calibri" w:hAnsi="Calibri" w:cs="Calibri"/>
                <w:sz w:val="20"/>
                <w:szCs w:val="20"/>
              </w:rPr>
              <w:t>Paid by the SBP</w:t>
            </w:r>
            <w:r w:rsidR="0084359C">
              <w:rPr>
                <w:rFonts w:ascii="Calibri" w:eastAsia="Calibri" w:hAnsi="Calibri" w:cs="Calibri"/>
                <w:sz w:val="20"/>
                <w:szCs w:val="20"/>
              </w:rPr>
              <w:t xml:space="preserve"> organization</w:t>
            </w:r>
            <w:r w:rsidRPr="00DD5DC5">
              <w:rPr>
                <w:rFonts w:ascii="Calibri" w:eastAsia="Calibri" w:hAnsi="Calibri" w:cs="Calibri"/>
                <w:sz w:val="20"/>
                <w:szCs w:val="20"/>
              </w:rPr>
              <w:t xml:space="preserve"> to the </w:t>
            </w:r>
            <w:proofErr w:type="spellStart"/>
            <w:r w:rsidRPr="00DD5DC5">
              <w:rPr>
                <w:rFonts w:ascii="Calibri" w:eastAsia="Calibri" w:hAnsi="Calibri" w:cs="Calibri"/>
                <w:sz w:val="20"/>
                <w:szCs w:val="20"/>
              </w:rPr>
              <w:t>deployees</w:t>
            </w:r>
            <w:proofErr w:type="spellEnd"/>
            <w:r w:rsidR="0084359C">
              <w:rPr>
                <w:rFonts w:ascii="Calibri" w:eastAsia="Calibri" w:hAnsi="Calibri" w:cs="Calibri"/>
                <w:sz w:val="20"/>
                <w:szCs w:val="20"/>
              </w:rPr>
              <w:t>;</w:t>
            </w:r>
            <w:r w:rsidRPr="00DD5DC5">
              <w:rPr>
                <w:rFonts w:ascii="Calibri" w:eastAsia="Calibri" w:hAnsi="Calibri" w:cs="Calibri"/>
                <w:sz w:val="20"/>
                <w:szCs w:val="20"/>
              </w:rPr>
              <w:t xml:space="preserve"> WHO reimburses the SBP based on the approved budget.</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08820DD2" w14:textId="77B4AC56" w:rsidR="30DD2215" w:rsidRPr="00DD5DC5" w:rsidRDefault="30DD2215" w:rsidP="00941DCA">
            <w:pPr>
              <w:ind w:left="69" w:right="87"/>
              <w:rPr>
                <w:sz w:val="20"/>
                <w:szCs w:val="20"/>
              </w:rPr>
            </w:pPr>
            <w:r w:rsidRPr="00DD5DC5">
              <w:rPr>
                <w:rFonts w:ascii="Calibri" w:eastAsia="Calibri" w:hAnsi="Calibri" w:cs="Calibri"/>
                <w:sz w:val="20"/>
                <w:szCs w:val="20"/>
              </w:rPr>
              <w:t>Paid by UNV</w:t>
            </w:r>
            <w:r w:rsidR="0084359C">
              <w:rPr>
                <w:rFonts w:ascii="Calibri" w:eastAsia="Calibri" w:hAnsi="Calibri" w:cs="Calibri"/>
                <w:sz w:val="20"/>
                <w:szCs w:val="20"/>
              </w:rPr>
              <w:t>;</w:t>
            </w:r>
            <w:r w:rsidRPr="00DD5DC5">
              <w:rPr>
                <w:rFonts w:ascii="Calibri" w:eastAsia="Calibri" w:hAnsi="Calibri" w:cs="Calibri"/>
                <w:sz w:val="20"/>
                <w:szCs w:val="20"/>
              </w:rPr>
              <w:t xml:space="preserve"> reimbursed by WHO</w:t>
            </w:r>
            <w:r w:rsidR="0084359C">
              <w:rPr>
                <w:rFonts w:ascii="Calibri" w:eastAsia="Calibri" w:hAnsi="Calibri" w:cs="Calibri"/>
                <w:sz w:val="20"/>
                <w:szCs w:val="20"/>
              </w:rPr>
              <w:t>.</w:t>
            </w:r>
          </w:p>
        </w:tc>
      </w:tr>
      <w:tr w:rsidR="30DD2215" w:rsidRPr="006E3225" w14:paraId="6906DAD0"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B4D3504" w14:textId="519921F8"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Living Allowance</w:t>
            </w:r>
          </w:p>
        </w:tc>
        <w:tc>
          <w:tcPr>
            <w:tcW w:w="2714"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3A3D370" w14:textId="68A5A59E"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Arranged and paid for by WHO (50% capital, 50% elsewhere).</w:t>
            </w:r>
          </w:p>
        </w:tc>
        <w:tc>
          <w:tcPr>
            <w:tcW w:w="2077"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199FDCC5" w14:textId="69444A50"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WHO provides daily subsistence allowance</w:t>
            </w:r>
            <w:r w:rsidR="0084359C">
              <w:rPr>
                <w:rFonts w:ascii="Calibri" w:eastAsia="Calibri" w:hAnsi="Calibri" w:cs="Calibri"/>
                <w:color w:val="000000" w:themeColor="text1"/>
                <w:sz w:val="20"/>
                <w:szCs w:val="20"/>
              </w:rPr>
              <w:t>,</w:t>
            </w:r>
            <w:r w:rsidRPr="00DD5DC5">
              <w:rPr>
                <w:rFonts w:ascii="Calibri" w:eastAsia="Calibri" w:hAnsi="Calibri" w:cs="Calibri"/>
                <w:color w:val="000000" w:themeColor="text1"/>
                <w:sz w:val="20"/>
                <w:szCs w:val="20"/>
              </w:rPr>
              <w:t xml:space="preserve"> known as a living allowance</w:t>
            </w:r>
            <w:r w:rsidR="0084359C">
              <w:rPr>
                <w:rFonts w:ascii="Calibri" w:eastAsia="Calibri" w:hAnsi="Calibri" w:cs="Calibri"/>
                <w:color w:val="000000" w:themeColor="text1"/>
                <w:sz w:val="20"/>
                <w:szCs w:val="20"/>
              </w:rPr>
              <w:t>,</w:t>
            </w:r>
            <w:r w:rsidRPr="00DD5DC5">
              <w:rPr>
                <w:rFonts w:ascii="Calibri" w:eastAsia="Calibri" w:hAnsi="Calibri" w:cs="Calibri"/>
                <w:color w:val="000000" w:themeColor="text1"/>
                <w:sz w:val="20"/>
                <w:szCs w:val="20"/>
              </w:rPr>
              <w:t xml:space="preserve"> applicable </w:t>
            </w:r>
            <w:r w:rsidRPr="00DD5DC5">
              <w:rPr>
                <w:rFonts w:ascii="Calibri" w:eastAsia="Calibri" w:hAnsi="Calibri" w:cs="Calibri"/>
                <w:color w:val="000000" w:themeColor="text1"/>
                <w:sz w:val="20"/>
                <w:szCs w:val="20"/>
              </w:rPr>
              <w:lastRenderedPageBreak/>
              <w:t>to GOARN experts and consultants deployed in response to emergencies (50% capital, 50% elsewhere)</w:t>
            </w:r>
            <w:r w:rsidR="0084359C">
              <w:rPr>
                <w:rFonts w:ascii="Calibri" w:eastAsia="Calibri" w:hAnsi="Calibri" w:cs="Calibri"/>
                <w:color w:val="000000" w:themeColor="text1"/>
                <w:sz w:val="20"/>
                <w:szCs w:val="20"/>
              </w:rPr>
              <w:t>.</w:t>
            </w:r>
          </w:p>
        </w:tc>
        <w:tc>
          <w:tcPr>
            <w:tcW w:w="2319"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43F4CCCA" w14:textId="7BE3CEA1"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lastRenderedPageBreak/>
              <w:t xml:space="preserve">Arranged and paid for by </w:t>
            </w:r>
            <w:r w:rsidR="0084359C">
              <w:rPr>
                <w:rFonts w:ascii="Calibri" w:eastAsia="Calibri" w:hAnsi="Calibri" w:cs="Calibri"/>
                <w:color w:val="000000" w:themeColor="text1"/>
                <w:sz w:val="20"/>
                <w:szCs w:val="20"/>
              </w:rPr>
              <w:t>SBP organization</w:t>
            </w:r>
          </w:p>
        </w:tc>
        <w:tc>
          <w:tcPr>
            <w:tcW w:w="2352"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A9CB0FE" w14:textId="1E40398A" w:rsidR="30DD2215" w:rsidRPr="00DD5DC5" w:rsidRDefault="30DD2215" w:rsidP="00941DCA">
            <w:pPr>
              <w:ind w:left="81" w:right="103"/>
              <w:rPr>
                <w:sz w:val="20"/>
                <w:szCs w:val="20"/>
              </w:rPr>
            </w:pPr>
            <w:r w:rsidRPr="00DD5DC5">
              <w:rPr>
                <w:rFonts w:ascii="Calibri" w:eastAsia="Calibri" w:hAnsi="Calibri" w:cs="Calibri"/>
                <w:color w:val="000000" w:themeColor="text1"/>
                <w:sz w:val="20"/>
                <w:szCs w:val="20"/>
              </w:rPr>
              <w:t xml:space="preserve">Paid by the </w:t>
            </w:r>
            <w:r w:rsidR="0084359C">
              <w:rPr>
                <w:rFonts w:ascii="Calibri" w:eastAsia="Calibri" w:hAnsi="Calibri" w:cs="Calibri"/>
                <w:color w:val="000000" w:themeColor="text1"/>
                <w:sz w:val="20"/>
                <w:szCs w:val="20"/>
              </w:rPr>
              <w:t>SBP organization</w:t>
            </w:r>
            <w:r w:rsidRPr="00DD5DC5">
              <w:rPr>
                <w:rFonts w:ascii="Calibri" w:eastAsia="Calibri" w:hAnsi="Calibri" w:cs="Calibri"/>
                <w:color w:val="000000" w:themeColor="text1"/>
                <w:sz w:val="20"/>
                <w:szCs w:val="20"/>
              </w:rPr>
              <w:t xml:space="preserve"> to the </w:t>
            </w:r>
            <w:proofErr w:type="spellStart"/>
            <w:r w:rsidRPr="00DD5DC5">
              <w:rPr>
                <w:rFonts w:ascii="Calibri" w:eastAsia="Calibri" w:hAnsi="Calibri" w:cs="Calibri"/>
                <w:color w:val="000000" w:themeColor="text1"/>
                <w:sz w:val="20"/>
                <w:szCs w:val="20"/>
              </w:rPr>
              <w:t>deployees</w:t>
            </w:r>
            <w:proofErr w:type="spellEnd"/>
            <w:r w:rsidR="0084359C">
              <w:rPr>
                <w:rFonts w:ascii="Calibri" w:eastAsia="Calibri" w:hAnsi="Calibri" w:cs="Calibri"/>
                <w:color w:val="000000" w:themeColor="text1"/>
                <w:sz w:val="20"/>
                <w:szCs w:val="20"/>
              </w:rPr>
              <w:t>;</w:t>
            </w:r>
            <w:r w:rsidRPr="00DD5DC5">
              <w:rPr>
                <w:rFonts w:ascii="Calibri" w:eastAsia="Calibri" w:hAnsi="Calibri" w:cs="Calibri"/>
                <w:color w:val="000000" w:themeColor="text1"/>
                <w:sz w:val="20"/>
                <w:szCs w:val="20"/>
              </w:rPr>
              <w:t xml:space="preserve"> WHO </w:t>
            </w:r>
            <w:r w:rsidRPr="00DD5DC5">
              <w:rPr>
                <w:rFonts w:ascii="Calibri" w:eastAsia="Calibri" w:hAnsi="Calibri" w:cs="Calibri"/>
                <w:color w:val="000000" w:themeColor="text1"/>
                <w:sz w:val="20"/>
                <w:szCs w:val="20"/>
              </w:rPr>
              <w:lastRenderedPageBreak/>
              <w:t>reimburses the SBP based on the approved budget.</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3C0EBF01" w14:textId="7F33E901" w:rsidR="30DD2215" w:rsidRPr="00DD5DC5" w:rsidRDefault="30DD2215" w:rsidP="00941DCA">
            <w:pPr>
              <w:ind w:left="69" w:right="87"/>
              <w:rPr>
                <w:sz w:val="20"/>
                <w:szCs w:val="20"/>
              </w:rPr>
            </w:pPr>
            <w:r w:rsidRPr="00DD5DC5">
              <w:rPr>
                <w:rFonts w:ascii="Calibri" w:eastAsia="Calibri" w:hAnsi="Calibri" w:cs="Calibri"/>
                <w:sz w:val="20"/>
                <w:szCs w:val="20"/>
              </w:rPr>
              <w:lastRenderedPageBreak/>
              <w:t xml:space="preserve">Volunteer Living Allowances and other entitlements arranged by UNV and paid </w:t>
            </w:r>
            <w:r w:rsidRPr="00DD5DC5">
              <w:rPr>
                <w:rFonts w:ascii="Calibri" w:eastAsia="Calibri" w:hAnsi="Calibri" w:cs="Calibri"/>
                <w:sz w:val="20"/>
                <w:szCs w:val="20"/>
              </w:rPr>
              <w:lastRenderedPageBreak/>
              <w:t>by WHO through a Global Service Clearing Account</w:t>
            </w:r>
            <w:r w:rsidR="0084359C">
              <w:rPr>
                <w:rFonts w:ascii="Calibri" w:eastAsia="Calibri" w:hAnsi="Calibri" w:cs="Calibri"/>
                <w:sz w:val="20"/>
                <w:szCs w:val="20"/>
              </w:rPr>
              <w:t>.</w:t>
            </w:r>
          </w:p>
        </w:tc>
      </w:tr>
      <w:tr w:rsidR="30DD2215" w:rsidRPr="006E3225" w14:paraId="2A3A27B3" w14:textId="77777777" w:rsidTr="54FDED13">
        <w:tc>
          <w:tcPr>
            <w:tcW w:w="1430"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29148CDB" w14:textId="441C2480"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lastRenderedPageBreak/>
              <w:t>Travel to duty station</w:t>
            </w:r>
          </w:p>
        </w:tc>
        <w:tc>
          <w:tcPr>
            <w:tcW w:w="2714"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0C0D812C" w14:textId="194DC73D"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Arranged and paid for by WHO</w:t>
            </w:r>
          </w:p>
        </w:tc>
        <w:tc>
          <w:tcPr>
            <w:tcW w:w="2077"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33E14665" w14:textId="51F5674A"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WHO provides airfare in economy class to and from duty station.</w:t>
            </w:r>
          </w:p>
        </w:tc>
        <w:tc>
          <w:tcPr>
            <w:tcW w:w="2319"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76FCDA0D" w14:textId="0DB6CB05"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Travel to international port of entry arranged and paid for by Standby Partner; in-country travel (duty travel) arranged and paid for by WHO.</w:t>
            </w:r>
          </w:p>
        </w:tc>
        <w:tc>
          <w:tcPr>
            <w:tcW w:w="2352"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53C9CD43" w14:textId="20EC2AFE"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Travel to international port of entry arranged and paid for by Standby Partner</w:t>
            </w:r>
            <w:r w:rsidR="0084359C">
              <w:rPr>
                <w:rFonts w:ascii="Calibri" w:eastAsia="Calibri" w:hAnsi="Calibri" w:cs="Calibri"/>
                <w:color w:val="000000" w:themeColor="text1"/>
                <w:sz w:val="20"/>
                <w:szCs w:val="20"/>
              </w:rPr>
              <w:t>;</w:t>
            </w:r>
            <w:r w:rsidRPr="00DD5DC5">
              <w:rPr>
                <w:rFonts w:ascii="Calibri" w:eastAsia="Calibri" w:hAnsi="Calibri" w:cs="Calibri"/>
                <w:color w:val="000000" w:themeColor="text1"/>
                <w:sz w:val="20"/>
                <w:szCs w:val="20"/>
              </w:rPr>
              <w:t xml:space="preserve"> reimbursed by WHO. Additional in-country travel (duty travel) arranged and paid for by WHO.</w:t>
            </w:r>
          </w:p>
        </w:tc>
        <w:tc>
          <w:tcPr>
            <w:tcW w:w="2508" w:type="dxa"/>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tcPr>
          <w:p w14:paraId="5704F8AF" w14:textId="6E61F7C5" w:rsidR="30DD2215" w:rsidRPr="00DD5DC5" w:rsidRDefault="30DD2215" w:rsidP="00941DCA">
            <w:pPr>
              <w:ind w:left="53" w:right="87"/>
              <w:rPr>
                <w:sz w:val="20"/>
                <w:szCs w:val="20"/>
              </w:rPr>
            </w:pPr>
            <w:r w:rsidRPr="00DD5DC5">
              <w:rPr>
                <w:rFonts w:ascii="Calibri" w:eastAsia="Calibri" w:hAnsi="Calibri" w:cs="Calibri"/>
                <w:color w:val="000000" w:themeColor="text1"/>
                <w:sz w:val="20"/>
                <w:szCs w:val="20"/>
              </w:rPr>
              <w:t>Arranged by UNV and paid by WHO through a Global Service Clearing Account</w:t>
            </w:r>
          </w:p>
        </w:tc>
      </w:tr>
      <w:tr w:rsidR="30DD2215" w:rsidRPr="006E3225" w14:paraId="4B1EA310"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344F3CB8" w14:textId="3625E510" w:rsidR="30DD2215" w:rsidRPr="00DD5DC5" w:rsidRDefault="30DD2215" w:rsidP="006E3225">
            <w:pPr>
              <w:ind w:left="65" w:right="82"/>
              <w:rPr>
                <w:sz w:val="20"/>
                <w:szCs w:val="20"/>
              </w:rPr>
            </w:pPr>
            <w:r w:rsidRPr="00DD5DC5">
              <w:rPr>
                <w:rFonts w:ascii="Calibri" w:eastAsia="Calibri" w:hAnsi="Calibri" w:cs="Calibri"/>
                <w:b/>
                <w:bCs/>
                <w:sz w:val="20"/>
                <w:szCs w:val="20"/>
              </w:rPr>
              <w:t>UN Travel Documents</w:t>
            </w:r>
          </w:p>
        </w:tc>
        <w:tc>
          <w:tcPr>
            <w:tcW w:w="9462"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1112C64A" w14:textId="71039F83" w:rsidR="30DD2215" w:rsidRPr="00DD5DC5" w:rsidRDefault="30DD2215" w:rsidP="00941DCA">
            <w:pPr>
              <w:ind w:left="78" w:right="103"/>
              <w:rPr>
                <w:sz w:val="20"/>
                <w:szCs w:val="20"/>
              </w:rPr>
            </w:pPr>
            <w:r w:rsidRPr="00DD5DC5">
              <w:rPr>
                <w:rFonts w:ascii="Calibri" w:eastAsia="Calibri" w:hAnsi="Calibri" w:cs="Calibri"/>
                <w:color w:val="000000" w:themeColor="text1"/>
                <w:sz w:val="20"/>
                <w:szCs w:val="20"/>
              </w:rPr>
              <w:t>UN Certificate provided by UN at request of WHO</w:t>
            </w:r>
            <w:r w:rsidR="0084359C">
              <w:rPr>
                <w:rFonts w:ascii="Calibri" w:eastAsia="Calibri" w:hAnsi="Calibri" w:cs="Calibri"/>
                <w:color w:val="000000" w:themeColor="text1"/>
                <w:sz w:val="20"/>
                <w:szCs w:val="20"/>
              </w:rPr>
              <w:t>.</w:t>
            </w:r>
          </w:p>
        </w:tc>
        <w:tc>
          <w:tcPr>
            <w:tcW w:w="2508" w:type="dxa"/>
            <w:tcBorders>
              <w:top w:val="single" w:sz="8" w:space="0" w:color="auto"/>
              <w:left w:val="nil"/>
              <w:bottom w:val="single" w:sz="8" w:space="0" w:color="auto"/>
              <w:right w:val="single" w:sz="8" w:space="0" w:color="auto"/>
            </w:tcBorders>
            <w:tcMar>
              <w:top w:w="15" w:type="dxa"/>
              <w:left w:w="15" w:type="dxa"/>
              <w:right w:w="15" w:type="dxa"/>
            </w:tcMar>
          </w:tcPr>
          <w:p w14:paraId="617A9E90" w14:textId="7DBC88CD" w:rsidR="30DD2215" w:rsidRPr="00DD5DC5" w:rsidRDefault="30DD2215" w:rsidP="00941DCA">
            <w:pPr>
              <w:ind w:left="78" w:right="87"/>
              <w:rPr>
                <w:sz w:val="20"/>
                <w:szCs w:val="20"/>
              </w:rPr>
            </w:pPr>
            <w:r w:rsidRPr="00DD5DC5">
              <w:rPr>
                <w:rFonts w:ascii="Calibri" w:eastAsia="Calibri" w:hAnsi="Calibri" w:cs="Calibri"/>
                <w:color w:val="000000" w:themeColor="text1"/>
                <w:sz w:val="20"/>
                <w:szCs w:val="20"/>
              </w:rPr>
              <w:t>UNV ID-card issued by the UNDP CO in the country of assignment.</w:t>
            </w:r>
          </w:p>
        </w:tc>
      </w:tr>
      <w:tr w:rsidR="30DD2215" w:rsidRPr="006E3225" w14:paraId="684D9B13"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65C9911B" w14:textId="7A02C81C"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Arrival in-country</w:t>
            </w:r>
          </w:p>
        </w:tc>
        <w:tc>
          <w:tcPr>
            <w:tcW w:w="9462"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2312964A" w14:textId="14067025" w:rsidR="30DD2215" w:rsidRPr="00DD5DC5" w:rsidRDefault="30DD2215" w:rsidP="00941DCA">
            <w:pPr>
              <w:ind w:left="78" w:right="103"/>
              <w:rPr>
                <w:sz w:val="20"/>
                <w:szCs w:val="20"/>
              </w:rPr>
            </w:pPr>
            <w:r w:rsidRPr="00DD5DC5">
              <w:rPr>
                <w:rFonts w:ascii="Calibri" w:eastAsia="Calibri" w:hAnsi="Calibri" w:cs="Calibri"/>
                <w:color w:val="000000" w:themeColor="text1"/>
                <w:sz w:val="20"/>
                <w:szCs w:val="20"/>
              </w:rPr>
              <w:t>The receiving WHO office arranges airport pick-up and initial accommodation and provides required office space and equipment.</w:t>
            </w:r>
          </w:p>
        </w:tc>
        <w:tc>
          <w:tcPr>
            <w:tcW w:w="2508" w:type="dxa"/>
            <w:tcBorders>
              <w:top w:val="single" w:sz="8" w:space="0" w:color="auto"/>
              <w:left w:val="nil"/>
              <w:bottom w:val="single" w:sz="8" w:space="0" w:color="auto"/>
              <w:right w:val="single" w:sz="8" w:space="0" w:color="auto"/>
            </w:tcBorders>
            <w:tcMar>
              <w:top w:w="15" w:type="dxa"/>
              <w:left w:w="15" w:type="dxa"/>
              <w:right w:w="15" w:type="dxa"/>
            </w:tcMar>
          </w:tcPr>
          <w:p w14:paraId="0BCB2442" w14:textId="74BB1D6B" w:rsidR="30DD2215" w:rsidRPr="00DD5DC5" w:rsidRDefault="30DD2215" w:rsidP="00941DCA">
            <w:pPr>
              <w:ind w:left="78" w:right="87"/>
              <w:rPr>
                <w:sz w:val="20"/>
                <w:szCs w:val="20"/>
              </w:rPr>
            </w:pPr>
            <w:r w:rsidRPr="00DD5DC5">
              <w:rPr>
                <w:rFonts w:ascii="Calibri" w:eastAsia="Calibri" w:hAnsi="Calibri" w:cs="Calibri"/>
                <w:color w:val="000000" w:themeColor="text1"/>
                <w:sz w:val="20"/>
                <w:szCs w:val="20"/>
              </w:rPr>
              <w:t>UNDP/UNV Field Office arranges airport pick-up and provides support with accommodation. WHO provides required office space and equipment.</w:t>
            </w:r>
          </w:p>
        </w:tc>
      </w:tr>
      <w:tr w:rsidR="30DD2215" w:rsidRPr="006E3225" w14:paraId="03E64642"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6AD2E8A" w14:textId="707EAC65"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In-country Duty Travel</w:t>
            </w:r>
          </w:p>
        </w:tc>
        <w:tc>
          <w:tcPr>
            <w:tcW w:w="11970" w:type="dxa"/>
            <w:gridSpan w:val="5"/>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50AF6BF6" w14:textId="0E82FEC3" w:rsidR="30DD2215" w:rsidRPr="00DD5DC5" w:rsidRDefault="30DD2215" w:rsidP="00941DCA">
            <w:pPr>
              <w:ind w:left="78" w:right="87"/>
              <w:rPr>
                <w:sz w:val="20"/>
                <w:szCs w:val="20"/>
              </w:rPr>
            </w:pPr>
            <w:r w:rsidRPr="00DD5DC5">
              <w:rPr>
                <w:rFonts w:ascii="Calibri" w:eastAsia="Calibri" w:hAnsi="Calibri" w:cs="Calibri"/>
                <w:color w:val="000000" w:themeColor="text1"/>
                <w:sz w:val="20"/>
                <w:szCs w:val="20"/>
              </w:rPr>
              <w:t>Travel arranged and paid for by WHO, includes all duty travel for WHO during assignment.</w:t>
            </w:r>
          </w:p>
        </w:tc>
      </w:tr>
      <w:tr w:rsidR="30DD2215" w:rsidRPr="006E3225" w14:paraId="7A078123"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64463108" w14:textId="2E7E752D"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Rest and Recuperation (R&amp;R)</w:t>
            </w:r>
          </w:p>
        </w:tc>
        <w:tc>
          <w:tcPr>
            <w:tcW w:w="2714" w:type="dxa"/>
            <w:tcBorders>
              <w:top w:val="single" w:sz="8" w:space="0" w:color="auto"/>
              <w:left w:val="single" w:sz="8" w:space="0" w:color="auto"/>
              <w:bottom w:val="single" w:sz="8" w:space="0" w:color="auto"/>
              <w:right w:val="nil"/>
            </w:tcBorders>
            <w:tcMar>
              <w:top w:w="15" w:type="dxa"/>
              <w:left w:w="15" w:type="dxa"/>
              <w:right w:w="15" w:type="dxa"/>
            </w:tcMar>
          </w:tcPr>
          <w:p w14:paraId="60A23142" w14:textId="6E616D15"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R&amp;R is provided based on WHO's policy in force at the duty station. Consultant fees continue to be paid over the time of rest and recuperation.</w:t>
            </w:r>
          </w:p>
        </w:tc>
        <w:tc>
          <w:tcPr>
            <w:tcW w:w="2077" w:type="dxa"/>
            <w:tcBorders>
              <w:top w:val="nil"/>
              <w:left w:val="single" w:sz="8" w:space="0" w:color="auto"/>
              <w:bottom w:val="single" w:sz="8" w:space="0" w:color="auto"/>
              <w:right w:val="single" w:sz="8" w:space="0" w:color="auto"/>
            </w:tcBorders>
            <w:tcMar>
              <w:top w:w="15" w:type="dxa"/>
              <w:left w:w="15" w:type="dxa"/>
              <w:right w:w="15" w:type="dxa"/>
            </w:tcMar>
          </w:tcPr>
          <w:p w14:paraId="07502EF2" w14:textId="77777777" w:rsidR="30DD2215" w:rsidRDefault="30DD2215" w:rsidP="006E3225">
            <w:pPr>
              <w:ind w:left="61" w:right="96"/>
              <w:rPr>
                <w:rFonts w:ascii="Calibri" w:eastAsia="Calibri" w:hAnsi="Calibri" w:cs="Calibri"/>
                <w:color w:val="000000" w:themeColor="text1"/>
                <w:sz w:val="20"/>
                <w:szCs w:val="20"/>
              </w:rPr>
            </w:pPr>
            <w:r w:rsidRPr="7FFACBB5">
              <w:rPr>
                <w:rFonts w:ascii="Calibri" w:eastAsia="Calibri" w:hAnsi="Calibri" w:cs="Calibri"/>
                <w:color w:val="000000" w:themeColor="text1"/>
                <w:sz w:val="20"/>
                <w:szCs w:val="20"/>
              </w:rPr>
              <w:t>R&amp;R is provided based on WHO's policy in force at the duty station.</w:t>
            </w:r>
          </w:p>
          <w:p w14:paraId="661E85B4" w14:textId="57D7A7E0" w:rsidR="00121000" w:rsidRPr="00DD5DC5" w:rsidRDefault="00121000" w:rsidP="006E3225">
            <w:pPr>
              <w:ind w:left="61" w:right="96"/>
              <w:rPr>
                <w:sz w:val="20"/>
                <w:szCs w:val="20"/>
              </w:rPr>
            </w:pPr>
          </w:p>
        </w:tc>
        <w:tc>
          <w:tcPr>
            <w:tcW w:w="2319" w:type="dxa"/>
            <w:tcBorders>
              <w:top w:val="nil"/>
              <w:left w:val="single" w:sz="8" w:space="0" w:color="auto"/>
              <w:bottom w:val="single" w:sz="8" w:space="0" w:color="auto"/>
              <w:right w:val="single" w:sz="8" w:space="0" w:color="auto"/>
            </w:tcBorders>
            <w:tcMar>
              <w:top w:w="15" w:type="dxa"/>
              <w:left w:w="15" w:type="dxa"/>
              <w:right w:w="15" w:type="dxa"/>
            </w:tcMar>
          </w:tcPr>
          <w:p w14:paraId="6C9EED0E" w14:textId="2BD77EEA"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 xml:space="preserve">R&amp;R is provided based on WHO's policy in force at the duty station. Travel arranged and paid for by </w:t>
            </w:r>
            <w:r w:rsidRPr="00DD5DC5">
              <w:rPr>
                <w:rFonts w:ascii="Calibri" w:eastAsia="Calibri" w:hAnsi="Calibri" w:cs="Calibri"/>
                <w:color w:val="000000" w:themeColor="text1"/>
                <w:sz w:val="20"/>
                <w:szCs w:val="20"/>
              </w:rPr>
              <w:lastRenderedPageBreak/>
              <w:t>WHO. Per diem is paid by the Standby Partner.</w:t>
            </w:r>
          </w:p>
        </w:tc>
        <w:tc>
          <w:tcPr>
            <w:tcW w:w="2352" w:type="dxa"/>
            <w:tcBorders>
              <w:top w:val="nil"/>
              <w:left w:val="single" w:sz="8" w:space="0" w:color="auto"/>
              <w:bottom w:val="single" w:sz="8" w:space="0" w:color="auto"/>
              <w:right w:val="single" w:sz="8" w:space="0" w:color="auto"/>
            </w:tcBorders>
            <w:tcMar>
              <w:top w:w="15" w:type="dxa"/>
              <w:left w:w="15" w:type="dxa"/>
              <w:right w:w="15" w:type="dxa"/>
            </w:tcMar>
          </w:tcPr>
          <w:p w14:paraId="36D903EC" w14:textId="13CF2A1B"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lastRenderedPageBreak/>
              <w:t xml:space="preserve">R&amp;R is provided based on WHO's policy in force at the duty station. Travel arranged and paid for by WHO. Per diem is paid by </w:t>
            </w:r>
            <w:r w:rsidRPr="00DD5DC5">
              <w:rPr>
                <w:rFonts w:ascii="Calibri" w:eastAsia="Calibri" w:hAnsi="Calibri" w:cs="Calibri"/>
                <w:color w:val="000000" w:themeColor="text1"/>
                <w:sz w:val="20"/>
                <w:szCs w:val="20"/>
              </w:rPr>
              <w:lastRenderedPageBreak/>
              <w:t>the Standby Partner (reimbursed by WHO).</w:t>
            </w:r>
          </w:p>
        </w:tc>
        <w:tc>
          <w:tcPr>
            <w:tcW w:w="2508" w:type="dxa"/>
            <w:tcBorders>
              <w:top w:val="nil"/>
              <w:left w:val="single" w:sz="8" w:space="0" w:color="auto"/>
              <w:bottom w:val="single" w:sz="8" w:space="0" w:color="auto"/>
              <w:right w:val="single" w:sz="8" w:space="0" w:color="000000" w:themeColor="text1"/>
            </w:tcBorders>
            <w:tcMar>
              <w:top w:w="15" w:type="dxa"/>
              <w:left w:w="15" w:type="dxa"/>
              <w:right w:w="15" w:type="dxa"/>
            </w:tcMar>
          </w:tcPr>
          <w:p w14:paraId="03F9C8EE" w14:textId="55E0D317" w:rsidR="30DD2215" w:rsidRPr="00DD5DC5" w:rsidRDefault="30DD2215" w:rsidP="006E3225">
            <w:pPr>
              <w:ind w:left="137" w:right="87"/>
              <w:rPr>
                <w:sz w:val="20"/>
                <w:szCs w:val="20"/>
              </w:rPr>
            </w:pPr>
            <w:r w:rsidRPr="00DD5DC5">
              <w:rPr>
                <w:rFonts w:ascii="Calibri" w:eastAsia="Calibri" w:hAnsi="Calibri" w:cs="Calibri"/>
                <w:color w:val="000000" w:themeColor="text1"/>
                <w:sz w:val="20"/>
                <w:szCs w:val="20"/>
              </w:rPr>
              <w:lastRenderedPageBreak/>
              <w:t>R&amp;R is provided based on WHO's policy in force at the duty station. Travel arranged and paid for by WHO.</w:t>
            </w:r>
          </w:p>
        </w:tc>
      </w:tr>
      <w:tr w:rsidR="30DD2215" w:rsidRPr="006E3225" w14:paraId="0EFD0EEF"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6851D2D5" w14:textId="276BD104"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Insurance</w:t>
            </w:r>
          </w:p>
        </w:tc>
        <w:tc>
          <w:tcPr>
            <w:tcW w:w="4791"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3BEA250B" w14:textId="1117FB9F"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The insurance that WHO provides during the period of the consulting contract is considered complementary to the insurance individuals on consulting contracts are required to obtain and maintain in force throughout the contract period. In this regard, they should ensure that they obtain and maintain adequate international medical expenses coverage under their national, institutional or private health insurance scheme. The WHO</w:t>
            </w:r>
            <w:r w:rsidR="00C74796">
              <w:rPr>
                <w:rFonts w:ascii="Calibri" w:eastAsia="Calibri" w:hAnsi="Calibri" w:cs="Calibri"/>
                <w:color w:val="000000" w:themeColor="text1"/>
                <w:sz w:val="20"/>
                <w:szCs w:val="20"/>
              </w:rPr>
              <w:t>-</w:t>
            </w:r>
            <w:r w:rsidRPr="00DD5DC5">
              <w:rPr>
                <w:rFonts w:ascii="Calibri" w:eastAsia="Calibri" w:hAnsi="Calibri" w:cs="Calibri"/>
                <w:color w:val="000000" w:themeColor="text1"/>
                <w:sz w:val="20"/>
                <w:szCs w:val="20"/>
              </w:rPr>
              <w:t>provided insurance expires concurrently with the end of the consulting contract and does not provide reimbursement for medical expenses incurred after the date of termination, regardless of cause.</w:t>
            </w:r>
          </w:p>
        </w:tc>
        <w:tc>
          <w:tcPr>
            <w:tcW w:w="2319" w:type="dxa"/>
            <w:tcBorders>
              <w:top w:val="single" w:sz="8" w:space="0" w:color="auto"/>
              <w:left w:val="nil"/>
              <w:bottom w:val="single" w:sz="8" w:space="0" w:color="auto"/>
              <w:right w:val="single" w:sz="8" w:space="0" w:color="auto"/>
            </w:tcBorders>
            <w:tcMar>
              <w:top w:w="15" w:type="dxa"/>
              <w:left w:w="15" w:type="dxa"/>
              <w:right w:w="15" w:type="dxa"/>
            </w:tcMar>
          </w:tcPr>
          <w:p w14:paraId="2D4BBDC4" w14:textId="4D9C8E67"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Health, accident, medical evacuation, third-party liability insurance (covering war-risk and other extraordinary risks) provided by the Standby Partner.</w:t>
            </w:r>
          </w:p>
        </w:tc>
        <w:tc>
          <w:tcPr>
            <w:tcW w:w="2352"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4B901175" w14:textId="74ABAC0B"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 xml:space="preserve">Health, accident, medical evacuation, third-party liability insurance (covering war-risk and other extraordinary risks) provided by the Standby Partner. Reimbursed by WHO as per the approved budget. </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00695619" w14:textId="24458AE9" w:rsidR="30DD2215" w:rsidRPr="00DD5DC5" w:rsidRDefault="30DD2215" w:rsidP="00941DCA">
            <w:pPr>
              <w:ind w:left="53" w:right="87"/>
              <w:rPr>
                <w:sz w:val="20"/>
                <w:szCs w:val="20"/>
              </w:rPr>
            </w:pPr>
            <w:r w:rsidRPr="00DD5DC5">
              <w:rPr>
                <w:rFonts w:ascii="Calibri" w:eastAsia="Calibri" w:hAnsi="Calibri" w:cs="Calibri"/>
                <w:color w:val="000000" w:themeColor="text1"/>
                <w:sz w:val="20"/>
                <w:szCs w:val="20"/>
              </w:rPr>
              <w:t>Medical, dental and hospital care; life and disability insurance provided by UNV and paid for by WHO.</w:t>
            </w:r>
          </w:p>
        </w:tc>
      </w:tr>
      <w:tr w:rsidR="30DD2215" w:rsidRPr="006E3225" w14:paraId="50822449"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220A2D50" w14:textId="7479166B"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Repatriation and Evacuation, including Medical Evacuation</w:t>
            </w:r>
          </w:p>
        </w:tc>
        <w:tc>
          <w:tcPr>
            <w:tcW w:w="4791" w:type="dxa"/>
            <w:gridSpan w:val="2"/>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5F66584F" w14:textId="35169356"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WHO makes or facilitates arrangements for medical evacuation for consultants and, provided that any required visas are provided, access to medical facilities.</w:t>
            </w:r>
          </w:p>
        </w:tc>
        <w:tc>
          <w:tcPr>
            <w:tcW w:w="2319" w:type="dxa"/>
            <w:tcBorders>
              <w:top w:val="single" w:sz="8" w:space="0" w:color="auto"/>
              <w:left w:val="nil"/>
              <w:bottom w:val="single" w:sz="8" w:space="0" w:color="auto"/>
              <w:right w:val="single" w:sz="8" w:space="0" w:color="auto"/>
            </w:tcBorders>
            <w:tcMar>
              <w:top w:w="15" w:type="dxa"/>
              <w:left w:w="15" w:type="dxa"/>
              <w:right w:w="15" w:type="dxa"/>
            </w:tcMar>
          </w:tcPr>
          <w:p w14:paraId="5A5C8655" w14:textId="47CF282A"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Arranged and paid for by Standby Partner with assistance from WHO as defined in respective individual Standby Partnership Agreements.</w:t>
            </w:r>
          </w:p>
        </w:tc>
        <w:tc>
          <w:tcPr>
            <w:tcW w:w="2352"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36A9DD0F" w14:textId="2F8FD20B"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In the event of a medical or security emergency WHO shall arrange for the evacuation of the Loaned Employee from his or her duty station.  The Lending Employer agrees to reimburse WHO for all costs related to such evacuation.</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4F8F5619" w14:textId="7E828A9A" w:rsidR="30DD2215" w:rsidRPr="00DD5DC5" w:rsidRDefault="30DD2215" w:rsidP="00941DCA">
            <w:pPr>
              <w:ind w:left="53" w:right="87"/>
              <w:rPr>
                <w:sz w:val="20"/>
                <w:szCs w:val="20"/>
              </w:rPr>
            </w:pPr>
            <w:r w:rsidRPr="00DD5DC5">
              <w:rPr>
                <w:rFonts w:ascii="Calibri" w:eastAsia="Calibri" w:hAnsi="Calibri" w:cs="Calibri"/>
                <w:color w:val="000000" w:themeColor="text1"/>
                <w:sz w:val="20"/>
                <w:szCs w:val="20"/>
              </w:rPr>
              <w:t>Arranged by UNV and paid for by WHO.</w:t>
            </w:r>
          </w:p>
        </w:tc>
      </w:tr>
      <w:tr w:rsidR="30DD2215" w:rsidRPr="006E3225" w14:paraId="3D94A6C8"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BB3B42F" w14:textId="7F8B05AE"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t>Security Arrangements</w:t>
            </w:r>
          </w:p>
        </w:tc>
        <w:tc>
          <w:tcPr>
            <w:tcW w:w="2714"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14:paraId="7AFFC707" w14:textId="77777777" w:rsidR="30DD2215" w:rsidRDefault="30DD2215" w:rsidP="006E3225">
            <w:pPr>
              <w:ind w:left="68" w:right="89"/>
              <w:rPr>
                <w:rFonts w:ascii="Calibri" w:eastAsia="Calibri" w:hAnsi="Calibri" w:cs="Calibri"/>
                <w:color w:val="000000" w:themeColor="text1"/>
                <w:sz w:val="20"/>
                <w:szCs w:val="20"/>
              </w:rPr>
            </w:pPr>
            <w:r w:rsidRPr="00DD5DC5">
              <w:rPr>
                <w:rFonts w:ascii="Calibri" w:eastAsia="Calibri" w:hAnsi="Calibri" w:cs="Calibri"/>
                <w:color w:val="000000" w:themeColor="text1"/>
                <w:sz w:val="20"/>
                <w:szCs w:val="20"/>
              </w:rPr>
              <w:t xml:space="preserve">Internationally recruited consultants are eligible for security evacuation or relocation when such measures are declared necessary for international staff by the United Nations </w:t>
            </w:r>
            <w:r w:rsidRPr="00DD5DC5">
              <w:rPr>
                <w:rFonts w:ascii="Calibri" w:eastAsia="Calibri" w:hAnsi="Calibri" w:cs="Calibri"/>
                <w:color w:val="000000" w:themeColor="text1"/>
                <w:sz w:val="20"/>
                <w:szCs w:val="20"/>
              </w:rPr>
              <w:lastRenderedPageBreak/>
              <w:t>Security Management System (UNSMS).</w:t>
            </w:r>
          </w:p>
          <w:p w14:paraId="048E69AC" w14:textId="7C198B3E" w:rsidR="00625E90" w:rsidRPr="00DD5DC5" w:rsidRDefault="00625E90" w:rsidP="006E3225">
            <w:pPr>
              <w:ind w:left="68" w:right="89"/>
              <w:rPr>
                <w:sz w:val="20"/>
                <w:szCs w:val="20"/>
              </w:rPr>
            </w:pPr>
          </w:p>
        </w:tc>
        <w:tc>
          <w:tcPr>
            <w:tcW w:w="2077" w:type="dxa"/>
            <w:tcBorders>
              <w:top w:val="nil"/>
              <w:left w:val="single" w:sz="8" w:space="0" w:color="auto"/>
              <w:bottom w:val="single" w:sz="8" w:space="0" w:color="auto"/>
              <w:right w:val="single" w:sz="8" w:space="0" w:color="000000" w:themeColor="text1"/>
            </w:tcBorders>
            <w:tcMar>
              <w:top w:w="15" w:type="dxa"/>
              <w:left w:w="15" w:type="dxa"/>
              <w:right w:w="15" w:type="dxa"/>
            </w:tcMar>
          </w:tcPr>
          <w:p w14:paraId="4F6171D5" w14:textId="6D1907E0"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lastRenderedPageBreak/>
              <w:t xml:space="preserve">GOARN Experts on consultant contracts are covered by the UN security framework. They are required to complete the mandatory UN field </w:t>
            </w:r>
            <w:r w:rsidRPr="00DD5DC5">
              <w:rPr>
                <w:rFonts w:ascii="Calibri" w:eastAsia="Calibri" w:hAnsi="Calibri" w:cs="Calibri"/>
                <w:color w:val="000000" w:themeColor="text1"/>
                <w:sz w:val="20"/>
                <w:szCs w:val="20"/>
              </w:rPr>
              <w:lastRenderedPageBreak/>
              <w:t xml:space="preserve">security training courses before </w:t>
            </w:r>
            <w:r w:rsidR="00625E90">
              <w:rPr>
                <w:rFonts w:ascii="Calibri" w:eastAsia="Calibri" w:hAnsi="Calibri" w:cs="Calibri"/>
                <w:color w:val="000000" w:themeColor="text1"/>
                <w:sz w:val="20"/>
                <w:szCs w:val="20"/>
              </w:rPr>
              <w:t xml:space="preserve">being </w:t>
            </w:r>
            <w:r w:rsidRPr="00DD5DC5">
              <w:rPr>
                <w:rFonts w:ascii="Calibri" w:eastAsia="Calibri" w:hAnsi="Calibri" w:cs="Calibri"/>
                <w:color w:val="000000" w:themeColor="text1"/>
                <w:sz w:val="20"/>
                <w:szCs w:val="20"/>
              </w:rPr>
              <w:t>deployed, as well as confirm they will abide by WHO and UN security policies and directives.</w:t>
            </w:r>
          </w:p>
        </w:tc>
        <w:tc>
          <w:tcPr>
            <w:tcW w:w="2319"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0C56C29D" w14:textId="3EAD5535"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lastRenderedPageBreak/>
              <w:t>Standby Personnel are covered by the UN security framework. They are required to complete the mandatory UN field security training courses before</w:t>
            </w:r>
            <w:r w:rsidR="00625E90">
              <w:rPr>
                <w:rFonts w:ascii="Calibri" w:eastAsia="Calibri" w:hAnsi="Calibri" w:cs="Calibri"/>
                <w:color w:val="000000" w:themeColor="text1"/>
                <w:sz w:val="20"/>
                <w:szCs w:val="20"/>
              </w:rPr>
              <w:t xml:space="preserve"> being</w:t>
            </w:r>
            <w:r w:rsidRPr="00DD5DC5">
              <w:rPr>
                <w:rFonts w:ascii="Calibri" w:eastAsia="Calibri" w:hAnsi="Calibri" w:cs="Calibri"/>
                <w:color w:val="000000" w:themeColor="text1"/>
                <w:sz w:val="20"/>
                <w:szCs w:val="20"/>
              </w:rPr>
              <w:t xml:space="preserve"> deployed, as </w:t>
            </w:r>
            <w:r w:rsidRPr="00DD5DC5">
              <w:rPr>
                <w:rFonts w:ascii="Calibri" w:eastAsia="Calibri" w:hAnsi="Calibri" w:cs="Calibri"/>
                <w:color w:val="000000" w:themeColor="text1"/>
                <w:sz w:val="20"/>
                <w:szCs w:val="20"/>
              </w:rPr>
              <w:lastRenderedPageBreak/>
              <w:t>well as confirm they will abide by WHO and UN security policies and directives.</w:t>
            </w:r>
          </w:p>
        </w:tc>
        <w:tc>
          <w:tcPr>
            <w:tcW w:w="2352"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48406A2C" w14:textId="224695AF"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lastRenderedPageBreak/>
              <w:t>Loaned Personnel are covered by the UN security framework. They are required to complete the mandatory UN field security training courses before</w:t>
            </w:r>
            <w:r w:rsidR="00625E90">
              <w:rPr>
                <w:rFonts w:ascii="Calibri" w:eastAsia="Calibri" w:hAnsi="Calibri" w:cs="Calibri"/>
                <w:color w:val="000000" w:themeColor="text1"/>
                <w:sz w:val="20"/>
                <w:szCs w:val="20"/>
              </w:rPr>
              <w:t xml:space="preserve"> being</w:t>
            </w:r>
            <w:r w:rsidRPr="00DD5DC5">
              <w:rPr>
                <w:rFonts w:ascii="Calibri" w:eastAsia="Calibri" w:hAnsi="Calibri" w:cs="Calibri"/>
                <w:color w:val="000000" w:themeColor="text1"/>
                <w:sz w:val="20"/>
                <w:szCs w:val="20"/>
              </w:rPr>
              <w:t xml:space="preserve"> deployed, as </w:t>
            </w:r>
            <w:r w:rsidRPr="00DD5DC5">
              <w:rPr>
                <w:rFonts w:ascii="Calibri" w:eastAsia="Calibri" w:hAnsi="Calibri" w:cs="Calibri"/>
                <w:color w:val="000000" w:themeColor="text1"/>
                <w:sz w:val="20"/>
                <w:szCs w:val="20"/>
              </w:rPr>
              <w:lastRenderedPageBreak/>
              <w:t>well as confirm they will abide by WHO and UN security policies and directives.</w:t>
            </w:r>
            <w:r w:rsidRPr="00DD5DC5">
              <w:rPr>
                <w:rFonts w:ascii="Calibri" w:eastAsia="Calibri" w:hAnsi="Calibri" w:cs="Calibri"/>
                <w:color w:val="FF0000"/>
                <w:sz w:val="20"/>
                <w:szCs w:val="20"/>
              </w:rPr>
              <w:t xml:space="preserve"> </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756A3A3F" w14:textId="4A905C6C" w:rsidR="30DD2215" w:rsidRPr="00DD5DC5" w:rsidRDefault="30DD2215" w:rsidP="00941DCA">
            <w:pPr>
              <w:ind w:left="53" w:right="87"/>
              <w:rPr>
                <w:sz w:val="20"/>
                <w:szCs w:val="20"/>
              </w:rPr>
            </w:pPr>
            <w:r w:rsidRPr="00DD5DC5">
              <w:rPr>
                <w:rFonts w:ascii="Calibri" w:eastAsia="Calibri" w:hAnsi="Calibri" w:cs="Calibri"/>
                <w:color w:val="000000" w:themeColor="text1"/>
                <w:sz w:val="20"/>
                <w:szCs w:val="20"/>
              </w:rPr>
              <w:lastRenderedPageBreak/>
              <w:t xml:space="preserve">United Nations Volunteers are eligible for security evacuation or relocation when such measures are declared necessary for international staff by the UNSMS. They are also </w:t>
            </w:r>
            <w:r w:rsidRPr="00DD5DC5">
              <w:rPr>
                <w:rFonts w:ascii="Calibri" w:eastAsia="Calibri" w:hAnsi="Calibri" w:cs="Calibri"/>
                <w:color w:val="000000" w:themeColor="text1"/>
                <w:sz w:val="20"/>
                <w:szCs w:val="20"/>
              </w:rPr>
              <w:lastRenderedPageBreak/>
              <w:t>entitled to full reimbursement for residential security measures. WHO will make the payment to UNV.</w:t>
            </w:r>
          </w:p>
        </w:tc>
      </w:tr>
      <w:tr w:rsidR="30DD2215" w:rsidRPr="006E3225" w14:paraId="3F2A70A4" w14:textId="77777777" w:rsidTr="54FDED13">
        <w:tc>
          <w:tcPr>
            <w:tcW w:w="1430"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2887FB9E" w14:textId="0D1A56E5" w:rsidR="30DD2215" w:rsidRPr="00DD5DC5" w:rsidRDefault="30DD2215" w:rsidP="006E3225">
            <w:pPr>
              <w:ind w:left="65" w:right="82"/>
              <w:rPr>
                <w:sz w:val="20"/>
                <w:szCs w:val="20"/>
              </w:rPr>
            </w:pPr>
            <w:r w:rsidRPr="00DD5DC5">
              <w:rPr>
                <w:rFonts w:ascii="Calibri" w:eastAsia="Calibri" w:hAnsi="Calibri" w:cs="Calibri"/>
                <w:b/>
                <w:bCs/>
                <w:color w:val="000000" w:themeColor="text1"/>
                <w:sz w:val="20"/>
                <w:szCs w:val="20"/>
              </w:rPr>
              <w:lastRenderedPageBreak/>
              <w:t>Residential Security Measures</w:t>
            </w:r>
            <w:r w:rsidR="00D71A71">
              <w:rPr>
                <w:rFonts w:ascii="Calibri" w:eastAsia="Calibri" w:hAnsi="Calibri" w:cs="Calibri"/>
                <w:b/>
                <w:bCs/>
                <w:color w:val="000000" w:themeColor="text1"/>
                <w:sz w:val="20"/>
                <w:szCs w:val="20"/>
              </w:rPr>
              <w:t xml:space="preserve"> (RSM)</w:t>
            </w:r>
          </w:p>
        </w:tc>
        <w:tc>
          <w:tcPr>
            <w:tcW w:w="2714"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255F7FF6" w14:textId="7108A24D" w:rsidR="30DD2215" w:rsidRPr="00DD5DC5" w:rsidRDefault="30DD2215" w:rsidP="006E3225">
            <w:pPr>
              <w:ind w:left="68" w:right="89"/>
              <w:rPr>
                <w:sz w:val="20"/>
                <w:szCs w:val="20"/>
              </w:rPr>
            </w:pPr>
            <w:r w:rsidRPr="00DD5DC5">
              <w:rPr>
                <w:rFonts w:ascii="Calibri" w:eastAsia="Calibri" w:hAnsi="Calibri" w:cs="Calibri"/>
                <w:color w:val="000000" w:themeColor="text1"/>
                <w:sz w:val="20"/>
                <w:szCs w:val="20"/>
              </w:rPr>
              <w:t>n/a</w:t>
            </w:r>
          </w:p>
        </w:tc>
        <w:tc>
          <w:tcPr>
            <w:tcW w:w="2077"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67ACB791" w14:textId="04D9345E" w:rsidR="30DD2215" w:rsidRPr="00DD5DC5" w:rsidRDefault="30DD2215" w:rsidP="006E3225">
            <w:pPr>
              <w:ind w:left="61" w:right="96"/>
              <w:rPr>
                <w:sz w:val="20"/>
                <w:szCs w:val="20"/>
              </w:rPr>
            </w:pPr>
            <w:r w:rsidRPr="00DD5DC5">
              <w:rPr>
                <w:rFonts w:ascii="Calibri" w:eastAsia="Calibri" w:hAnsi="Calibri" w:cs="Calibri"/>
                <w:color w:val="000000" w:themeColor="text1"/>
                <w:sz w:val="20"/>
                <w:szCs w:val="20"/>
              </w:rPr>
              <w:t>n/a</w:t>
            </w:r>
          </w:p>
        </w:tc>
        <w:tc>
          <w:tcPr>
            <w:tcW w:w="2319"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3FF40D8A" w14:textId="1AE3D3C2"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RSM to be covered by the SBP organization.</w:t>
            </w:r>
          </w:p>
        </w:tc>
        <w:tc>
          <w:tcPr>
            <w:tcW w:w="2352"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51EAE438" w14:textId="7B1D7F4A" w:rsidR="30DD2215" w:rsidRPr="00DD5DC5" w:rsidRDefault="30DD2215" w:rsidP="00941DCA">
            <w:pPr>
              <w:ind w:left="53" w:right="103"/>
              <w:rPr>
                <w:sz w:val="20"/>
                <w:szCs w:val="20"/>
              </w:rPr>
            </w:pPr>
            <w:r w:rsidRPr="00DD5DC5">
              <w:rPr>
                <w:rFonts w:ascii="Calibri" w:eastAsia="Calibri" w:hAnsi="Calibri" w:cs="Calibri"/>
                <w:color w:val="000000" w:themeColor="text1"/>
                <w:sz w:val="20"/>
                <w:szCs w:val="20"/>
              </w:rPr>
              <w:t>SBP includes the RSM costs in the budget to be approved by WHO (when applicable).</w:t>
            </w:r>
          </w:p>
        </w:tc>
        <w:tc>
          <w:tcPr>
            <w:tcW w:w="2508" w:type="dxa"/>
            <w:tcBorders>
              <w:top w:val="single" w:sz="8" w:space="0" w:color="auto"/>
              <w:left w:val="single" w:sz="8" w:space="0" w:color="auto"/>
              <w:bottom w:val="single" w:sz="8" w:space="0" w:color="auto"/>
              <w:right w:val="single" w:sz="8" w:space="0" w:color="auto"/>
            </w:tcBorders>
            <w:tcMar>
              <w:top w:w="15" w:type="dxa"/>
              <w:left w:w="15" w:type="dxa"/>
              <w:right w:w="15" w:type="dxa"/>
            </w:tcMar>
          </w:tcPr>
          <w:p w14:paraId="4FBD7F1E" w14:textId="2C5E06AF" w:rsidR="30DD2215" w:rsidRPr="00DD5DC5" w:rsidRDefault="30DD2215" w:rsidP="00941DCA">
            <w:pPr>
              <w:ind w:left="53" w:right="87"/>
              <w:rPr>
                <w:sz w:val="20"/>
                <w:szCs w:val="20"/>
              </w:rPr>
            </w:pPr>
            <w:r w:rsidRPr="00DD5DC5">
              <w:rPr>
                <w:rFonts w:ascii="Calibri" w:eastAsia="Calibri" w:hAnsi="Calibri" w:cs="Calibri"/>
                <w:color w:val="000000" w:themeColor="text1"/>
                <w:sz w:val="20"/>
                <w:szCs w:val="20"/>
              </w:rPr>
              <w:t>International United Nations Volunteers are entitled</w:t>
            </w:r>
            <w:r w:rsidR="00D71A71">
              <w:rPr>
                <w:rFonts w:ascii="Calibri" w:eastAsia="Calibri" w:hAnsi="Calibri" w:cs="Calibri"/>
                <w:color w:val="000000" w:themeColor="text1"/>
                <w:sz w:val="20"/>
                <w:szCs w:val="20"/>
              </w:rPr>
              <w:t xml:space="preserve"> to RSM</w:t>
            </w:r>
            <w:r w:rsidRPr="00DD5DC5">
              <w:rPr>
                <w:rFonts w:ascii="Calibri" w:eastAsia="Calibri" w:hAnsi="Calibri" w:cs="Calibri"/>
                <w:color w:val="000000" w:themeColor="text1"/>
                <w:sz w:val="20"/>
                <w:szCs w:val="20"/>
              </w:rPr>
              <w:t xml:space="preserve">; arranged by UNV and paid for by WHO.  </w:t>
            </w:r>
          </w:p>
        </w:tc>
      </w:tr>
    </w:tbl>
    <w:p w14:paraId="71982D7F" w14:textId="0E4D81E5" w:rsidR="30DD2215" w:rsidRPr="006E3225" w:rsidRDefault="30DD2215" w:rsidP="30DD2215">
      <w:pPr>
        <w:rPr>
          <w:sz w:val="21"/>
          <w:szCs w:val="21"/>
        </w:rPr>
      </w:pPr>
    </w:p>
    <w:p w14:paraId="329DC4E3" w14:textId="6412CEEE" w:rsidR="30DD2215" w:rsidRPr="006E3225" w:rsidRDefault="30DD2215">
      <w:pPr>
        <w:rPr>
          <w:sz w:val="21"/>
          <w:szCs w:val="21"/>
        </w:rPr>
      </w:pPr>
      <w:r w:rsidRPr="006E3225">
        <w:rPr>
          <w:sz w:val="21"/>
          <w:szCs w:val="21"/>
        </w:rPr>
        <w:br w:type="page"/>
      </w:r>
    </w:p>
    <w:p w14:paraId="293800C2" w14:textId="0548BC48" w:rsidR="24FA8F60" w:rsidRPr="006E3225" w:rsidRDefault="24FA8F60" w:rsidP="30DD2215">
      <w:pPr>
        <w:rPr>
          <w:b/>
          <w:bCs/>
          <w:sz w:val="28"/>
          <w:szCs w:val="28"/>
        </w:rPr>
      </w:pPr>
      <w:r w:rsidRPr="7FFACBB5">
        <w:rPr>
          <w:b/>
          <w:bCs/>
          <w:sz w:val="28"/>
          <w:szCs w:val="28"/>
        </w:rPr>
        <w:lastRenderedPageBreak/>
        <w:t>Insurance for individuals &amp; GOARN experts engaged using Consultant contracts</w:t>
      </w:r>
    </w:p>
    <w:p w14:paraId="638FEF4C" w14:textId="03144D2F" w:rsidR="1649EF19" w:rsidRPr="006E3225" w:rsidRDefault="1649EF19" w:rsidP="30DD2215">
      <w:pPr>
        <w:rPr>
          <w:sz w:val="21"/>
          <w:szCs w:val="21"/>
        </w:rPr>
      </w:pPr>
      <w:r w:rsidRPr="006E3225">
        <w:rPr>
          <w:sz w:val="21"/>
          <w:szCs w:val="21"/>
        </w:rPr>
        <w:t>WHO expects individuals and GOARN experts engaged on consultant contracts to have their own primary medical insurance coverage;</w:t>
      </w:r>
      <w:r w:rsidRPr="006E3225">
        <w:rPr>
          <w:b/>
          <w:bCs/>
          <w:sz w:val="21"/>
          <w:szCs w:val="21"/>
        </w:rPr>
        <w:t xml:space="preserve"> </w:t>
      </w:r>
      <w:r w:rsidRPr="006E3225">
        <w:rPr>
          <w:sz w:val="21"/>
          <w:szCs w:val="21"/>
        </w:rPr>
        <w:t>the WHO insurance is complementary.</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470"/>
        <w:gridCol w:w="6470"/>
      </w:tblGrid>
      <w:tr w:rsidR="30DD2215" w:rsidRPr="006E3225" w14:paraId="053E54F8"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shd w:val="clear" w:color="auto" w:fill="D4E2F0"/>
            <w:tcMar>
              <w:top w:w="75" w:type="dxa"/>
              <w:left w:w="75" w:type="dxa"/>
              <w:bottom w:w="75" w:type="dxa"/>
              <w:right w:w="75" w:type="dxa"/>
            </w:tcMar>
            <w:vAlign w:val="center"/>
          </w:tcPr>
          <w:p w14:paraId="6DE656BF" w14:textId="77777777" w:rsidR="30DD2215" w:rsidRPr="006E3225" w:rsidRDefault="30DD2215" w:rsidP="30DD2215">
            <w:pPr>
              <w:jc w:val="center"/>
              <w:rPr>
                <w:rFonts w:ascii="Calibri" w:hAnsi="Calibri" w:cs="Calibri"/>
                <w:sz w:val="21"/>
                <w:szCs w:val="21"/>
                <w:lang w:val="en-US"/>
              </w:rPr>
            </w:pPr>
            <w:r w:rsidRPr="006E3225">
              <w:rPr>
                <w:rFonts w:ascii="Verdana" w:hAnsi="Verdana"/>
                <w:b/>
                <w:bCs/>
                <w:color w:val="447DB5"/>
                <w:sz w:val="16"/>
                <w:szCs w:val="16"/>
                <w:lang w:val="en-US"/>
              </w:rPr>
              <w:t>Insurance coverage offered by WHO</w:t>
            </w:r>
          </w:p>
        </w:tc>
        <w:tc>
          <w:tcPr>
            <w:tcW w:w="6470" w:type="dxa"/>
            <w:tcBorders>
              <w:top w:val="single" w:sz="8" w:space="0" w:color="447DB5"/>
              <w:left w:val="single" w:sz="8" w:space="0" w:color="447DB5"/>
              <w:bottom w:val="single" w:sz="8" w:space="0" w:color="447DB5"/>
              <w:right w:val="single" w:sz="8" w:space="0" w:color="447DB5"/>
            </w:tcBorders>
            <w:shd w:val="clear" w:color="auto" w:fill="D4E2F0"/>
            <w:tcMar>
              <w:top w:w="75" w:type="dxa"/>
              <w:left w:w="75" w:type="dxa"/>
              <w:bottom w:w="75" w:type="dxa"/>
              <w:right w:w="75" w:type="dxa"/>
            </w:tcMar>
            <w:vAlign w:val="center"/>
          </w:tcPr>
          <w:p w14:paraId="57296B9A" w14:textId="77777777" w:rsidR="30DD2215" w:rsidRPr="006E3225" w:rsidRDefault="30DD2215" w:rsidP="30DD2215">
            <w:pPr>
              <w:spacing w:after="60"/>
              <w:jc w:val="center"/>
              <w:rPr>
                <w:rFonts w:ascii="Calibri" w:hAnsi="Calibri" w:cs="Calibri"/>
                <w:sz w:val="21"/>
                <w:szCs w:val="21"/>
                <w:lang w:val="en-US"/>
              </w:rPr>
            </w:pPr>
            <w:r w:rsidRPr="006E3225">
              <w:rPr>
                <w:rFonts w:ascii="Verdana" w:hAnsi="Verdana"/>
                <w:b/>
                <w:bCs/>
                <w:color w:val="447DB5"/>
                <w:sz w:val="16"/>
                <w:szCs w:val="16"/>
                <w:lang w:val="en-US"/>
              </w:rPr>
              <w:t>Details</w:t>
            </w:r>
          </w:p>
        </w:tc>
      </w:tr>
      <w:tr w:rsidR="30DD2215" w:rsidRPr="006E3225" w14:paraId="67EB98EF"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309B52D7" w14:textId="32E40E11" w:rsidR="6B8C9AE4" w:rsidRPr="006E3225" w:rsidRDefault="6B8C9AE4" w:rsidP="30DD2215">
            <w:pPr>
              <w:rPr>
                <w:sz w:val="21"/>
                <w:szCs w:val="21"/>
              </w:rPr>
            </w:pPr>
            <w:r w:rsidRPr="006E3225">
              <w:rPr>
                <w:sz w:val="21"/>
                <w:szCs w:val="21"/>
              </w:rPr>
              <w:t>Medical expenses for accident or emer</w:t>
            </w:r>
            <w:r w:rsidR="7E2DF2D4" w:rsidRPr="006E3225">
              <w:rPr>
                <w:sz w:val="21"/>
                <w:szCs w:val="21"/>
              </w:rPr>
              <w:t>g</w:t>
            </w:r>
            <w:r w:rsidRPr="006E3225">
              <w:rPr>
                <w:sz w:val="21"/>
                <w:szCs w:val="21"/>
              </w:rPr>
              <w:t>ency illness*</w:t>
            </w:r>
          </w:p>
        </w:tc>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6701CBE2" w14:textId="77777777" w:rsidR="30DD2215" w:rsidRPr="006E3225" w:rsidRDefault="30DD2215" w:rsidP="30DD2215">
            <w:pPr>
              <w:rPr>
                <w:sz w:val="21"/>
                <w:szCs w:val="21"/>
                <w:lang w:val="en-US"/>
              </w:rPr>
            </w:pPr>
            <w:r w:rsidRPr="006E3225">
              <w:rPr>
                <w:sz w:val="21"/>
                <w:szCs w:val="21"/>
                <w:lang w:val="en-US"/>
              </w:rPr>
              <w:t>USD 50,000.- max. per event</w:t>
            </w:r>
          </w:p>
        </w:tc>
      </w:tr>
      <w:tr w:rsidR="30DD2215" w:rsidRPr="006E3225" w14:paraId="4276AD92"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1CE165C8" w14:textId="05C23B7D" w:rsidR="57280823" w:rsidRPr="006E3225" w:rsidRDefault="57280823" w:rsidP="30DD2215">
            <w:pPr>
              <w:rPr>
                <w:sz w:val="21"/>
                <w:szCs w:val="21"/>
              </w:rPr>
            </w:pPr>
            <w:r w:rsidRPr="006E3225">
              <w:rPr>
                <w:sz w:val="21"/>
                <w:szCs w:val="21"/>
              </w:rPr>
              <w:t>Emergency medical evacuation/repatriation**</w:t>
            </w:r>
          </w:p>
          <w:p w14:paraId="2694F408" w14:textId="0B6AAAD8" w:rsidR="30DD2215" w:rsidRPr="006E3225" w:rsidRDefault="30DD2215" w:rsidP="30DD2215">
            <w:pPr>
              <w:rPr>
                <w:sz w:val="21"/>
                <w:szCs w:val="21"/>
                <w:lang w:val="en-US"/>
              </w:rPr>
            </w:pPr>
          </w:p>
        </w:tc>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6EFD46F4" w14:textId="77777777" w:rsidR="30DD2215" w:rsidRPr="006E3225" w:rsidRDefault="30DD2215" w:rsidP="30DD2215">
            <w:pPr>
              <w:rPr>
                <w:sz w:val="21"/>
                <w:szCs w:val="21"/>
                <w:lang w:val="en-US"/>
              </w:rPr>
            </w:pPr>
            <w:r w:rsidRPr="006E3225">
              <w:rPr>
                <w:sz w:val="21"/>
                <w:szCs w:val="21"/>
                <w:lang w:val="en-US"/>
              </w:rPr>
              <w:t>USD 10,000.- max. (incl. in USD 50,000.- above)</w:t>
            </w:r>
          </w:p>
        </w:tc>
      </w:tr>
      <w:tr w:rsidR="30DD2215" w:rsidRPr="006E3225" w14:paraId="1749E9D0"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00F0D1EB" w14:textId="594ED2FC" w:rsidR="69D7992D" w:rsidRPr="006E3225" w:rsidRDefault="69D7992D" w:rsidP="30DD2215">
            <w:pPr>
              <w:rPr>
                <w:sz w:val="21"/>
                <w:szCs w:val="21"/>
              </w:rPr>
            </w:pPr>
            <w:r w:rsidRPr="006E3225">
              <w:rPr>
                <w:sz w:val="21"/>
                <w:szCs w:val="21"/>
              </w:rPr>
              <w:t>Compensation in case of accidental death</w:t>
            </w:r>
          </w:p>
          <w:p w14:paraId="5C38C21C" w14:textId="27A016A0" w:rsidR="30DD2215" w:rsidRPr="006E3225" w:rsidRDefault="30DD2215" w:rsidP="30DD2215">
            <w:pPr>
              <w:rPr>
                <w:sz w:val="21"/>
                <w:szCs w:val="21"/>
                <w:lang w:val="en-US"/>
              </w:rPr>
            </w:pPr>
          </w:p>
        </w:tc>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66240FD7" w14:textId="4D80D871" w:rsidR="791DE9A7" w:rsidRPr="006E3225" w:rsidRDefault="791DE9A7" w:rsidP="30DD2215">
            <w:pPr>
              <w:rPr>
                <w:sz w:val="21"/>
                <w:szCs w:val="21"/>
              </w:rPr>
            </w:pPr>
            <w:r w:rsidRPr="006E3225">
              <w:rPr>
                <w:sz w:val="21"/>
                <w:szCs w:val="21"/>
              </w:rPr>
              <w:t>Lump sum = 3 x annual pensionable remuneration P4.step 1</w:t>
            </w:r>
            <w:r w:rsidRPr="006E3225">
              <w:rPr>
                <w:sz w:val="21"/>
                <w:szCs w:val="21"/>
              </w:rPr>
              <w:br/>
              <w:t>(annual pensionable remuneration P4.step 1 = USD 171,868.- as at 1 Feb 2022)</w:t>
            </w:r>
          </w:p>
        </w:tc>
      </w:tr>
      <w:tr w:rsidR="30DD2215" w:rsidRPr="006E3225" w14:paraId="60CC3D83"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0C126C20" w14:textId="2B3A5E0B" w:rsidR="791DE9A7" w:rsidRPr="006E3225" w:rsidRDefault="791DE9A7" w:rsidP="30DD2215">
            <w:pPr>
              <w:rPr>
                <w:sz w:val="21"/>
                <w:szCs w:val="21"/>
              </w:rPr>
            </w:pPr>
            <w:r w:rsidRPr="006E3225">
              <w:rPr>
                <w:sz w:val="21"/>
                <w:szCs w:val="21"/>
              </w:rPr>
              <w:t>Compensation in case of permanent (total or partial) disability due to accident or illness</w:t>
            </w:r>
          </w:p>
        </w:tc>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77F495ED" w14:textId="77777777" w:rsidR="30DD2215" w:rsidRPr="006E3225" w:rsidRDefault="30DD2215" w:rsidP="30DD2215">
            <w:pPr>
              <w:spacing w:after="60"/>
              <w:rPr>
                <w:sz w:val="21"/>
                <w:szCs w:val="21"/>
                <w:lang w:val="en-US"/>
              </w:rPr>
            </w:pPr>
            <w:r w:rsidRPr="006E3225">
              <w:rPr>
                <w:sz w:val="21"/>
                <w:szCs w:val="21"/>
                <w:lang w:val="en-US"/>
              </w:rPr>
              <w:t>Lump sum = Percentage of 3 x annual pensionable remuneration P4.step 1 according to the degree of disability</w:t>
            </w:r>
          </w:p>
        </w:tc>
      </w:tr>
      <w:tr w:rsidR="30DD2215" w:rsidRPr="006E3225" w14:paraId="12BDF70D" w14:textId="77777777" w:rsidTr="30DD2215">
        <w:trPr>
          <w:trHeight w:val="300"/>
        </w:trPr>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6332668A" w14:textId="77777777" w:rsidR="30DD2215" w:rsidRPr="006E3225" w:rsidRDefault="30DD2215" w:rsidP="30DD2215">
            <w:pPr>
              <w:rPr>
                <w:sz w:val="21"/>
                <w:szCs w:val="21"/>
                <w:lang w:val="en-US"/>
              </w:rPr>
            </w:pPr>
            <w:r w:rsidRPr="006E3225">
              <w:rPr>
                <w:sz w:val="21"/>
                <w:szCs w:val="21"/>
                <w:lang w:val="en-US"/>
              </w:rPr>
              <w:t>War and terrorism risks</w:t>
            </w:r>
          </w:p>
        </w:tc>
        <w:tc>
          <w:tcPr>
            <w:tcW w:w="6470" w:type="dxa"/>
            <w:tcBorders>
              <w:top w:val="single" w:sz="8" w:space="0" w:color="447DB5"/>
              <w:left w:val="single" w:sz="8" w:space="0" w:color="447DB5"/>
              <w:bottom w:val="single" w:sz="8" w:space="0" w:color="447DB5"/>
              <w:right w:val="single" w:sz="8" w:space="0" w:color="447DB5"/>
            </w:tcBorders>
            <w:tcMar>
              <w:top w:w="105" w:type="dxa"/>
              <w:left w:w="105" w:type="dxa"/>
              <w:bottom w:w="105" w:type="dxa"/>
              <w:right w:w="105" w:type="dxa"/>
            </w:tcMar>
          </w:tcPr>
          <w:p w14:paraId="27955DC1" w14:textId="77777777" w:rsidR="30DD2215" w:rsidRPr="006E3225" w:rsidRDefault="30DD2215" w:rsidP="30DD2215">
            <w:pPr>
              <w:rPr>
                <w:sz w:val="21"/>
                <w:szCs w:val="21"/>
                <w:lang w:val="en-US"/>
              </w:rPr>
            </w:pPr>
            <w:r w:rsidRPr="006E3225">
              <w:rPr>
                <w:sz w:val="21"/>
                <w:szCs w:val="21"/>
                <w:lang w:val="en-US"/>
              </w:rPr>
              <w:t>Included (nuclear/chemical/biological risks excluded)</w:t>
            </w:r>
          </w:p>
        </w:tc>
      </w:tr>
    </w:tbl>
    <w:p w14:paraId="3CB0BE34" w14:textId="47985376" w:rsidR="30DD2215" w:rsidRPr="006E3225" w:rsidRDefault="30DD2215">
      <w:pPr>
        <w:rPr>
          <w:sz w:val="21"/>
          <w:szCs w:val="21"/>
        </w:rPr>
      </w:pPr>
    </w:p>
    <w:p w14:paraId="39968753" w14:textId="007358DE" w:rsidR="01685A94" w:rsidRPr="006E3225" w:rsidRDefault="01685A94">
      <w:pPr>
        <w:rPr>
          <w:sz w:val="21"/>
          <w:szCs w:val="21"/>
        </w:rPr>
      </w:pPr>
      <w:r w:rsidRPr="006E3225">
        <w:rPr>
          <w:sz w:val="21"/>
          <w:szCs w:val="21"/>
        </w:rPr>
        <w:t>*Emergency illness = A life-threatening situation where the patient must start treatment within 48 hours and for whom travel is not possible for medical reasons.</w:t>
      </w:r>
    </w:p>
    <w:p w14:paraId="7B71F0F7" w14:textId="0A58277F" w:rsidR="00311557" w:rsidRPr="006E3225" w:rsidRDefault="01685A94" w:rsidP="00311557">
      <w:pPr>
        <w:rPr>
          <w:sz w:val="21"/>
          <w:szCs w:val="21"/>
        </w:rPr>
      </w:pPr>
      <w:r w:rsidRPr="006E3225">
        <w:rPr>
          <w:sz w:val="21"/>
          <w:szCs w:val="21"/>
        </w:rPr>
        <w:t>**Transportation by professional ambulance service to the nearest hospital where treatment can be given or repatriation to home country or medical evacuation to country where care can be given.</w:t>
      </w:r>
    </w:p>
    <w:p w14:paraId="5D362E3D" w14:textId="77777777" w:rsidR="00735789" w:rsidRPr="006E3225" w:rsidRDefault="00735789">
      <w:pPr>
        <w:rPr>
          <w:sz w:val="21"/>
          <w:szCs w:val="21"/>
        </w:rPr>
      </w:pPr>
    </w:p>
    <w:sectPr w:rsidR="00735789" w:rsidRPr="006E3225" w:rsidSect="00311557">
      <w:footerReference w:type="even" r:id="rId11"/>
      <w:foot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7FE9" w14:textId="77777777" w:rsidR="00F95FBD" w:rsidRDefault="00F95FBD" w:rsidP="00A67C8A">
      <w:pPr>
        <w:spacing w:after="0" w:line="240" w:lineRule="auto"/>
      </w:pPr>
      <w:r>
        <w:separator/>
      </w:r>
    </w:p>
  </w:endnote>
  <w:endnote w:type="continuationSeparator" w:id="0">
    <w:p w14:paraId="72913B29" w14:textId="77777777" w:rsidR="00F95FBD" w:rsidRDefault="00F95FBD" w:rsidP="00A6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7654339"/>
      <w:docPartObj>
        <w:docPartGallery w:val="Page Numbers (Bottom of Page)"/>
        <w:docPartUnique/>
      </w:docPartObj>
    </w:sdtPr>
    <w:sdtEndPr>
      <w:rPr>
        <w:rStyle w:val="PageNumber"/>
      </w:rPr>
    </w:sdtEndPr>
    <w:sdtContent>
      <w:p w14:paraId="359C17F6" w14:textId="5C1EFE2E" w:rsidR="00A67C8A" w:rsidRDefault="00A67C8A" w:rsidP="002872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DF588" w14:textId="77777777" w:rsidR="00A67C8A" w:rsidRDefault="00A67C8A" w:rsidP="00A6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4813412"/>
      <w:docPartObj>
        <w:docPartGallery w:val="Page Numbers (Bottom of Page)"/>
        <w:docPartUnique/>
      </w:docPartObj>
    </w:sdtPr>
    <w:sdtEndPr>
      <w:rPr>
        <w:rStyle w:val="PageNumber"/>
      </w:rPr>
    </w:sdtEndPr>
    <w:sdtContent>
      <w:p w14:paraId="25C66709" w14:textId="698B2C92" w:rsidR="00A67C8A" w:rsidRDefault="00A67C8A" w:rsidP="002872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B7E94" w14:textId="77777777" w:rsidR="00A67C8A" w:rsidRDefault="00A67C8A" w:rsidP="00A67C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71C1" w14:textId="77777777" w:rsidR="00F95FBD" w:rsidRDefault="00F95FBD" w:rsidP="00A67C8A">
      <w:pPr>
        <w:spacing w:after="0" w:line="240" w:lineRule="auto"/>
      </w:pPr>
      <w:r>
        <w:separator/>
      </w:r>
    </w:p>
  </w:footnote>
  <w:footnote w:type="continuationSeparator" w:id="0">
    <w:p w14:paraId="1B4A9036" w14:textId="77777777" w:rsidR="00F95FBD" w:rsidRDefault="00F95FBD" w:rsidP="00A6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3EA3C"/>
    <w:multiLevelType w:val="hybridMultilevel"/>
    <w:tmpl w:val="FFFFFFFF"/>
    <w:lvl w:ilvl="0" w:tplc="EF2E5BE4">
      <w:start w:val="1"/>
      <w:numFmt w:val="decimal"/>
      <w:lvlText w:val="%1."/>
      <w:lvlJc w:val="left"/>
      <w:pPr>
        <w:ind w:left="720" w:hanging="360"/>
      </w:pPr>
    </w:lvl>
    <w:lvl w:ilvl="1" w:tplc="94ECCB70">
      <w:start w:val="1"/>
      <w:numFmt w:val="lowerLetter"/>
      <w:lvlText w:val="%2."/>
      <w:lvlJc w:val="left"/>
      <w:pPr>
        <w:ind w:left="1440" w:hanging="360"/>
      </w:pPr>
    </w:lvl>
    <w:lvl w:ilvl="2" w:tplc="04B61D76">
      <w:start w:val="1"/>
      <w:numFmt w:val="lowerRoman"/>
      <w:lvlText w:val="%3."/>
      <w:lvlJc w:val="right"/>
      <w:pPr>
        <w:ind w:left="2160" w:hanging="180"/>
      </w:pPr>
    </w:lvl>
    <w:lvl w:ilvl="3" w:tplc="81E22EA6">
      <w:start w:val="1"/>
      <w:numFmt w:val="decimal"/>
      <w:lvlText w:val="%4."/>
      <w:lvlJc w:val="left"/>
      <w:pPr>
        <w:ind w:left="2880" w:hanging="360"/>
      </w:pPr>
    </w:lvl>
    <w:lvl w:ilvl="4" w:tplc="06960CB0">
      <w:start w:val="1"/>
      <w:numFmt w:val="lowerLetter"/>
      <w:lvlText w:val="%5."/>
      <w:lvlJc w:val="left"/>
      <w:pPr>
        <w:ind w:left="3600" w:hanging="360"/>
      </w:pPr>
    </w:lvl>
    <w:lvl w:ilvl="5" w:tplc="3BFA4834">
      <w:start w:val="1"/>
      <w:numFmt w:val="lowerRoman"/>
      <w:lvlText w:val="%6."/>
      <w:lvlJc w:val="right"/>
      <w:pPr>
        <w:ind w:left="4320" w:hanging="180"/>
      </w:pPr>
    </w:lvl>
    <w:lvl w:ilvl="6" w:tplc="504267BC">
      <w:start w:val="1"/>
      <w:numFmt w:val="decimal"/>
      <w:lvlText w:val="%7."/>
      <w:lvlJc w:val="left"/>
      <w:pPr>
        <w:ind w:left="5040" w:hanging="360"/>
      </w:pPr>
    </w:lvl>
    <w:lvl w:ilvl="7" w:tplc="0B9A9388">
      <w:start w:val="1"/>
      <w:numFmt w:val="lowerLetter"/>
      <w:lvlText w:val="%8."/>
      <w:lvlJc w:val="left"/>
      <w:pPr>
        <w:ind w:left="5760" w:hanging="360"/>
      </w:pPr>
    </w:lvl>
    <w:lvl w:ilvl="8" w:tplc="5E680EF0">
      <w:start w:val="1"/>
      <w:numFmt w:val="lowerRoman"/>
      <w:lvlText w:val="%9."/>
      <w:lvlJc w:val="right"/>
      <w:pPr>
        <w:ind w:left="6480" w:hanging="180"/>
      </w:pPr>
    </w:lvl>
  </w:abstractNum>
  <w:num w:numId="1" w16cid:durableId="135079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57"/>
    <w:rsid w:val="000B6F0A"/>
    <w:rsid w:val="0010207A"/>
    <w:rsid w:val="00121000"/>
    <w:rsid w:val="00123101"/>
    <w:rsid w:val="00311557"/>
    <w:rsid w:val="005064F9"/>
    <w:rsid w:val="005574BE"/>
    <w:rsid w:val="00625E90"/>
    <w:rsid w:val="0068298F"/>
    <w:rsid w:val="006A33A6"/>
    <w:rsid w:val="006D438A"/>
    <w:rsid w:val="006E115F"/>
    <w:rsid w:val="006E3225"/>
    <w:rsid w:val="00735789"/>
    <w:rsid w:val="007A4F2A"/>
    <w:rsid w:val="008044FA"/>
    <w:rsid w:val="0084359C"/>
    <w:rsid w:val="008C72B6"/>
    <w:rsid w:val="008F1021"/>
    <w:rsid w:val="008F1AA6"/>
    <w:rsid w:val="00941DCA"/>
    <w:rsid w:val="00955D50"/>
    <w:rsid w:val="009A0578"/>
    <w:rsid w:val="009A35EE"/>
    <w:rsid w:val="009C1EE8"/>
    <w:rsid w:val="00A40188"/>
    <w:rsid w:val="00A67C8A"/>
    <w:rsid w:val="00BC6EB7"/>
    <w:rsid w:val="00BE0B2A"/>
    <w:rsid w:val="00C74796"/>
    <w:rsid w:val="00CE20C1"/>
    <w:rsid w:val="00D30A14"/>
    <w:rsid w:val="00D71A71"/>
    <w:rsid w:val="00DD5DC5"/>
    <w:rsid w:val="00E2526B"/>
    <w:rsid w:val="00EA4F74"/>
    <w:rsid w:val="00F2694E"/>
    <w:rsid w:val="00F90C95"/>
    <w:rsid w:val="00F95FBD"/>
    <w:rsid w:val="01685A94"/>
    <w:rsid w:val="043345FA"/>
    <w:rsid w:val="07AA1823"/>
    <w:rsid w:val="0CBB89BB"/>
    <w:rsid w:val="10A8ECFB"/>
    <w:rsid w:val="10CDCF17"/>
    <w:rsid w:val="1649EF19"/>
    <w:rsid w:val="1AFFCA35"/>
    <w:rsid w:val="1CE5DBC6"/>
    <w:rsid w:val="1F771545"/>
    <w:rsid w:val="1FDEF517"/>
    <w:rsid w:val="2063B56C"/>
    <w:rsid w:val="217AC578"/>
    <w:rsid w:val="23551D4A"/>
    <w:rsid w:val="24FA8F60"/>
    <w:rsid w:val="268CBE0C"/>
    <w:rsid w:val="27477A63"/>
    <w:rsid w:val="29CC4C54"/>
    <w:rsid w:val="2C8802B6"/>
    <w:rsid w:val="2CA46EF2"/>
    <w:rsid w:val="2D03ED16"/>
    <w:rsid w:val="30DD2215"/>
    <w:rsid w:val="37713BB1"/>
    <w:rsid w:val="37FA3240"/>
    <w:rsid w:val="38CF0B9D"/>
    <w:rsid w:val="3E5E3173"/>
    <w:rsid w:val="4177EE33"/>
    <w:rsid w:val="4254E227"/>
    <w:rsid w:val="46DF520D"/>
    <w:rsid w:val="47E0FBE6"/>
    <w:rsid w:val="4A058527"/>
    <w:rsid w:val="5366AC43"/>
    <w:rsid w:val="54FDED13"/>
    <w:rsid w:val="57280823"/>
    <w:rsid w:val="58027D06"/>
    <w:rsid w:val="5EC28704"/>
    <w:rsid w:val="62E69663"/>
    <w:rsid w:val="63C2BE08"/>
    <w:rsid w:val="647EF9B7"/>
    <w:rsid w:val="67D3D6E0"/>
    <w:rsid w:val="69D7992D"/>
    <w:rsid w:val="6B8C9AE4"/>
    <w:rsid w:val="70A88609"/>
    <w:rsid w:val="733C6ED5"/>
    <w:rsid w:val="78B00A6D"/>
    <w:rsid w:val="791DE9A7"/>
    <w:rsid w:val="7B9C0770"/>
    <w:rsid w:val="7E1C5E39"/>
    <w:rsid w:val="7E2DF2D4"/>
    <w:rsid w:val="7FFACB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3507"/>
  <w15:chartTrackingRefBased/>
  <w15:docId w15:val="{AF7AB192-0CCE-4D98-9CDD-3D73DB3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557"/>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11557"/>
    <w:pPr>
      <w:widowControl w:val="0"/>
      <w:suppressAutoHyphens/>
      <w:spacing w:after="120" w:line="240" w:lineRule="auto"/>
    </w:pPr>
    <w:rPr>
      <w:rFonts w:ascii="Times New Roman" w:eastAsia="Arial Unicode MS" w:hAnsi="Times New Roman" w:cs="Arial Unicode MS"/>
      <w:kern w:val="2"/>
      <w:sz w:val="24"/>
      <w:szCs w:val="24"/>
      <w:lang w:eastAsia="hi-IN" w:bidi="hi-IN"/>
    </w:rPr>
  </w:style>
  <w:style w:type="character" w:customStyle="1" w:styleId="BodyTextChar">
    <w:name w:val="Body Text Char"/>
    <w:basedOn w:val="DefaultParagraphFont"/>
    <w:link w:val="BodyText"/>
    <w:semiHidden/>
    <w:rsid w:val="00311557"/>
    <w:rPr>
      <w:rFonts w:ascii="Times New Roman" w:eastAsia="Arial Unicode MS" w:hAnsi="Times New Roman" w:cs="Arial Unicode MS"/>
      <w:kern w:val="2"/>
      <w:sz w:val="24"/>
      <w:szCs w:val="24"/>
      <w:lang w:val="en-GB" w:eastAsia="hi-IN" w:bidi="hi-IN"/>
    </w:rPr>
  </w:style>
  <w:style w:type="character" w:styleId="Hyperlink">
    <w:name w:val="Hyperlink"/>
    <w:basedOn w:val="DefaultParagraphFont"/>
    <w:uiPriority w:val="99"/>
    <w:unhideWhenUsed/>
    <w:rsid w:val="008044FA"/>
    <w:rPr>
      <w:color w:val="0000FF" w:themeColor="hyperlink"/>
      <w:u w:val="single"/>
    </w:rPr>
  </w:style>
  <w:style w:type="character" w:styleId="UnresolvedMention">
    <w:name w:val="Unresolved Mention"/>
    <w:basedOn w:val="DefaultParagraphFont"/>
    <w:uiPriority w:val="99"/>
    <w:semiHidden/>
    <w:unhideWhenUsed/>
    <w:rsid w:val="008044F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lang w:val="en-GB"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1A71"/>
    <w:pPr>
      <w:spacing w:after="0" w:line="240" w:lineRule="auto"/>
    </w:pPr>
    <w:rPr>
      <w:rFonts w:eastAsiaTheme="minorEastAsia"/>
      <w:lang w:val="en-GB" w:eastAsia="zh-CN"/>
    </w:rPr>
  </w:style>
  <w:style w:type="paragraph" w:styleId="CommentSubject">
    <w:name w:val="annotation subject"/>
    <w:basedOn w:val="CommentText"/>
    <w:next w:val="CommentText"/>
    <w:link w:val="CommentSubjectChar"/>
    <w:uiPriority w:val="99"/>
    <w:semiHidden/>
    <w:unhideWhenUsed/>
    <w:rsid w:val="006D438A"/>
    <w:rPr>
      <w:b/>
      <w:bCs/>
    </w:rPr>
  </w:style>
  <w:style w:type="character" w:customStyle="1" w:styleId="CommentSubjectChar">
    <w:name w:val="Comment Subject Char"/>
    <w:basedOn w:val="CommentTextChar"/>
    <w:link w:val="CommentSubject"/>
    <w:uiPriority w:val="99"/>
    <w:semiHidden/>
    <w:rsid w:val="006D438A"/>
    <w:rPr>
      <w:rFonts w:eastAsiaTheme="minorEastAsia"/>
      <w:b/>
      <w:bCs/>
      <w:sz w:val="20"/>
      <w:szCs w:val="20"/>
      <w:lang w:val="en-GB" w:eastAsia="zh-CN"/>
    </w:rPr>
  </w:style>
  <w:style w:type="paragraph" w:styleId="Header">
    <w:name w:val="header"/>
    <w:basedOn w:val="Normal"/>
    <w:link w:val="HeaderChar"/>
    <w:uiPriority w:val="99"/>
    <w:unhideWhenUsed/>
    <w:rsid w:val="00A67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8A"/>
    <w:rPr>
      <w:rFonts w:eastAsiaTheme="minorEastAsia"/>
      <w:lang w:val="en-GB" w:eastAsia="zh-CN"/>
    </w:rPr>
  </w:style>
  <w:style w:type="paragraph" w:styleId="Footer">
    <w:name w:val="footer"/>
    <w:basedOn w:val="Normal"/>
    <w:link w:val="FooterChar"/>
    <w:uiPriority w:val="99"/>
    <w:unhideWhenUsed/>
    <w:rsid w:val="00A67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8A"/>
    <w:rPr>
      <w:rFonts w:eastAsiaTheme="minorEastAsia"/>
      <w:lang w:val="en-GB" w:eastAsia="zh-CN"/>
    </w:rPr>
  </w:style>
  <w:style w:type="character" w:styleId="PageNumber">
    <w:name w:val="page number"/>
    <w:basedOn w:val="DefaultParagraphFont"/>
    <w:uiPriority w:val="99"/>
    <w:semiHidden/>
    <w:unhideWhenUsed/>
    <w:rsid w:val="00A6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Entitlements for Non-Staff on Emergency Deployment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 xsi:nil="true"/>
    <eM_PolicyIDs_SC xmlns="c42180c4-457d-4cd2-985a-4d4a2011628f" xsi:nil="true"/>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740F893C-572B-405C-AE16-E3235D55EA80}"/>
</file>

<file path=customXml/itemProps2.xml><?xml version="1.0" encoding="utf-8"?>
<ds:datastoreItem xmlns:ds="http://schemas.openxmlformats.org/officeDocument/2006/customXml" ds:itemID="{8DEA088C-849B-4E04-B094-0D2BAACCCE54}">
  <ds:schemaRefs>
    <ds:schemaRef ds:uri="http://schemas.microsoft.com/sharepoint/v3/contenttype/forms"/>
  </ds:schemaRefs>
</ds:datastoreItem>
</file>

<file path=customXml/itemProps3.xml><?xml version="1.0" encoding="utf-8"?>
<ds:datastoreItem xmlns:ds="http://schemas.openxmlformats.org/officeDocument/2006/customXml" ds:itemID="{BA06B8B1-AFE6-4548-8F3E-5BDC3A1B9C57}">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 ds:uri="5dd08479-9bfb-4966-8ea2-a899e1e32cfc"/>
    <ds:schemaRef ds:uri="0fd65778-a5d0-42c8-a06f-14a3b0b7f024"/>
  </ds:schemaRefs>
</ds:datastoreItem>
</file>

<file path=customXml/itemProps4.xml><?xml version="1.0" encoding="utf-8"?>
<ds:datastoreItem xmlns:ds="http://schemas.openxmlformats.org/officeDocument/2006/customXml" ds:itemID="{6DC15E4D-5FE9-4A14-8467-1AB0219EE725}"/>
</file>

<file path=docProps/app.xml><?xml version="1.0" encoding="utf-8"?>
<Properties xmlns="http://schemas.openxmlformats.org/officeDocument/2006/extended-properties" xmlns:vt="http://schemas.openxmlformats.org/officeDocument/2006/docPropsVTypes">
  <Template>Normal.dotm</Template>
  <TotalTime>1</TotalTime>
  <Pages>6</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STEPANYSHENA, Olena</dc:creator>
  <cp:keywords/>
  <dc:description/>
  <cp:lastModifiedBy>STEPANYSHENA, Olena</cp:lastModifiedBy>
  <cp:revision>18</cp:revision>
  <dcterms:created xsi:type="dcterms:W3CDTF">2022-10-28T14:38:00Z</dcterms:created>
  <dcterms:modified xsi:type="dcterms:W3CDTF">2025-03-21T11:30:00Z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MediaServiceImageTags">
    <vt:lpwstr/>
  </property>
</Properties>
</file>