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3EB9" w14:textId="4E172BC9" w:rsidR="003E3948" w:rsidRPr="002129D8" w:rsidRDefault="000F5927" w:rsidP="00FD0C78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20"/>
          <w:szCs w:val="20"/>
          <w:lang w:val="fr-FR"/>
        </w:rPr>
      </w:pPr>
      <w:r w:rsidRPr="002129D8">
        <w:rPr>
          <w:rFonts w:ascii="Segoe UI" w:hAnsi="Segoe UI" w:cs="Segoe UI"/>
          <w:b/>
          <w:bCs/>
          <w:sz w:val="20"/>
          <w:szCs w:val="20"/>
          <w:lang w:val="fr-FR"/>
        </w:rPr>
        <w:t>XVII.</w:t>
      </w:r>
      <w:r w:rsidR="00BC5045">
        <w:rPr>
          <w:rFonts w:ascii="Segoe UI" w:hAnsi="Segoe UI" w:cs="Segoe UI"/>
          <w:b/>
          <w:bCs/>
          <w:sz w:val="20"/>
          <w:szCs w:val="20"/>
          <w:lang w:val="fr-FR"/>
        </w:rPr>
        <w:t>1</w:t>
      </w:r>
      <w:r w:rsidR="00B361C3" w:rsidRPr="002129D8">
        <w:rPr>
          <w:rFonts w:ascii="Segoe UI" w:hAnsi="Segoe UI" w:cs="Segoe UI"/>
          <w:b/>
          <w:bCs/>
          <w:sz w:val="20"/>
          <w:szCs w:val="20"/>
          <w:lang w:val="fr-FR"/>
        </w:rPr>
        <w:t>.</w:t>
      </w:r>
      <w:r w:rsidR="00BC5045">
        <w:rPr>
          <w:rFonts w:ascii="Segoe UI" w:hAnsi="Segoe UI" w:cs="Segoe UI"/>
          <w:b/>
          <w:bCs/>
          <w:sz w:val="20"/>
          <w:szCs w:val="20"/>
          <w:lang w:val="fr-FR"/>
        </w:rPr>
        <w:t>5</w:t>
      </w:r>
      <w:r w:rsidR="003E3948" w:rsidRPr="002129D8">
        <w:rPr>
          <w:rFonts w:ascii="Segoe UI" w:hAnsi="Segoe UI" w:cs="Segoe UI"/>
          <w:b/>
          <w:bCs/>
          <w:sz w:val="20"/>
          <w:szCs w:val="20"/>
          <w:lang w:val="fr-FR"/>
        </w:rPr>
        <w:t xml:space="preserve"> </w:t>
      </w:r>
      <w:r w:rsidR="00B918D1" w:rsidRPr="002129D8">
        <w:rPr>
          <w:rFonts w:ascii="Segoe UI" w:hAnsi="Segoe UI" w:cs="Segoe UI"/>
          <w:b/>
          <w:bCs/>
          <w:sz w:val="20"/>
          <w:szCs w:val="20"/>
          <w:lang w:val="fr-FR"/>
        </w:rPr>
        <w:t>Élaboration et gestion des politiques, lignes directrices et procédures d</w:t>
      </w:r>
      <w:r w:rsidR="00032072" w:rsidRPr="002129D8">
        <w:rPr>
          <w:rFonts w:ascii="Segoe UI" w:hAnsi="Segoe UI" w:cs="Segoe UI"/>
          <w:b/>
          <w:bCs/>
          <w:sz w:val="20"/>
          <w:szCs w:val="20"/>
          <w:lang w:val="fr-FR"/>
        </w:rPr>
        <w:t>’</w:t>
      </w:r>
      <w:r w:rsidR="00B918D1" w:rsidRPr="002129D8">
        <w:rPr>
          <w:rFonts w:ascii="Segoe UI" w:hAnsi="Segoe UI" w:cs="Segoe UI"/>
          <w:b/>
          <w:bCs/>
          <w:sz w:val="20"/>
          <w:szCs w:val="20"/>
          <w:lang w:val="fr-FR"/>
        </w:rPr>
        <w:t>urgence</w:t>
      </w:r>
    </w:p>
    <w:p w14:paraId="7820BD09" w14:textId="60AB538F" w:rsidR="00766B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10.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D82103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La présente 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section</w:t>
      </w:r>
      <w:r w:rsidR="00025514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offre un aperçu des procédures relatives à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025514" w:rsidRPr="002129D8">
        <w:rPr>
          <w:rFonts w:ascii="Segoe UI" w:hAnsi="Segoe UI" w:cs="Segoe UI"/>
          <w:color w:val="444444"/>
          <w:sz w:val="20"/>
          <w:szCs w:val="20"/>
          <w:lang w:val="fr-FR"/>
        </w:rPr>
        <w:t>élaboration, la révision et la diffusion des politiques, des lignes directrices et des procédures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025514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urgence. </w:t>
      </w:r>
      <w:r w:rsidR="00C25D49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Les modes opératoires normalisés détaillés peuvent être consultés </w:t>
      </w:r>
      <w:hyperlink r:id="rId12" w:history="1">
        <w:r w:rsidR="00C25D49" w:rsidRPr="002129D8">
          <w:rPr>
            <w:rStyle w:val="Hyperlink"/>
            <w:rFonts w:ascii="Segoe UI" w:hAnsi="Segoe UI" w:cs="Segoe UI"/>
            <w:sz w:val="20"/>
            <w:szCs w:val="20"/>
            <w:lang w:val="fr-FR"/>
          </w:rPr>
          <w:t>ici</w:t>
        </w:r>
      </w:hyperlink>
      <w:r w:rsidR="00766B50" w:rsidRPr="002129D8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p w14:paraId="64F0777E" w14:textId="03B254CA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20.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C25D49" w:rsidRPr="002129D8">
        <w:rPr>
          <w:rFonts w:ascii="Segoe UI" w:hAnsi="Segoe UI" w:cs="Segoe UI"/>
          <w:color w:val="444444"/>
          <w:sz w:val="20"/>
          <w:szCs w:val="20"/>
          <w:lang w:val="fr-FR"/>
        </w:rPr>
        <w:t>Pour permettre une intervention rapide lors des situations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25D49" w:rsidRPr="002129D8">
        <w:rPr>
          <w:rFonts w:ascii="Segoe UI" w:hAnsi="Segoe UI" w:cs="Segoe UI"/>
          <w:color w:val="444444"/>
          <w:sz w:val="20"/>
          <w:szCs w:val="20"/>
          <w:lang w:val="fr-FR"/>
        </w:rPr>
        <w:t>urgence, tout(e) unité/équipe/groupe de travail participant aux efforts de riposte à une situation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25D49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ou travaillant dans les départements 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>chargés des opérations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urgence </w:t>
      </w:r>
      <w:r w:rsidR="00C25D49" w:rsidRPr="002129D8">
        <w:rPr>
          <w:rFonts w:ascii="Segoe UI" w:hAnsi="Segoe UI" w:cs="Segoe UI"/>
          <w:color w:val="444444"/>
          <w:sz w:val="20"/>
          <w:szCs w:val="20"/>
          <w:lang w:val="fr-FR"/>
        </w:rPr>
        <w:t>de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C25D49" w:rsidRPr="002129D8">
        <w:rPr>
          <w:rFonts w:ascii="Segoe UI" w:hAnsi="Segoe UI" w:cs="Segoe UI"/>
          <w:color w:val="444444"/>
          <w:sz w:val="20"/>
          <w:szCs w:val="20"/>
          <w:lang w:val="fr-FR"/>
        </w:rPr>
        <w:t>OMS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>, peut proposer/prendre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initiative : </w:t>
      </w:r>
    </w:p>
    <w:p w14:paraId="7825109C" w14:textId="3B45B2D0" w:rsidR="00954F50" w:rsidRPr="002129D8" w:rsidRDefault="00EA6213" w:rsidP="00FD0C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de</w:t>
      </w:r>
      <w:proofErr w:type="gramEnd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>nouvelles politiques, lignes directrices ou procédures</w:t>
      </w:r>
      <w:r w:rsidR="00D345B3" w:rsidRPr="002129D8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</w:p>
    <w:p w14:paraId="40FB29D5" w14:textId="5A5457F6" w:rsidR="00954F50" w:rsidRPr="002129D8" w:rsidRDefault="00EA6213" w:rsidP="00FD0C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de</w:t>
      </w:r>
      <w:proofErr w:type="gramEnd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>réviser les politiques, lignes directrices ou procédures existantes</w:t>
      </w:r>
      <w:r w:rsidR="00D345B3" w:rsidRPr="002129D8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="00954F50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7E809F46" w14:textId="3514CBC2" w:rsidR="00954F50" w:rsidRPr="002129D8" w:rsidRDefault="00AB3B5D" w:rsidP="00FD0C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des</w:t>
      </w:r>
      <w:proofErr w:type="gramEnd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/d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954F50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exceptions 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aux politiques existantes qui ne s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appliqueraient qu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aux programmes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urgence</w:t>
      </w:r>
      <w:r w:rsidR="003D3B16" w:rsidRPr="002129D8">
        <w:rPr>
          <w:rFonts w:ascii="Segoe UI" w:hAnsi="Segoe UI" w:cs="Segoe UI"/>
          <w:color w:val="444444"/>
          <w:sz w:val="20"/>
          <w:szCs w:val="20"/>
          <w:lang w:val="fr-FR"/>
        </w:rPr>
        <w:t> ;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276B4AE6" w14:textId="1237AC3D" w:rsidR="00954F50" w:rsidRPr="002129D8" w:rsidRDefault="00EA6213" w:rsidP="00FD0C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proofErr w:type="gramStart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de</w:t>
      </w:r>
      <w:proofErr w:type="gramEnd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>retirer des politiques ou procédures existantes</w:t>
      </w:r>
      <w:r w:rsidR="003D3B16" w:rsidRPr="002129D8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  <w:r w:rsidR="00AB3B5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</w:p>
    <w:p w14:paraId="5A2526CE" w14:textId="7BB7862D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30.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L</w:t>
      </w:r>
      <w:r w:rsidR="00103D3E" w:rsidRPr="002129D8">
        <w:rPr>
          <w:rFonts w:ascii="Segoe UI" w:hAnsi="Segoe UI" w:cs="Segoe UI"/>
          <w:color w:val="444444"/>
          <w:sz w:val="20"/>
          <w:szCs w:val="20"/>
          <w:lang w:val="fr-FR"/>
        </w:rPr>
        <w:t>es politiques, qu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03D3E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elles soient nouvelles ou révisées, doivent être revues par les parties prenantes, approuvées par les </w:t>
      </w:r>
      <w:bookmarkStart w:id="0" w:name="_Hlk523835015"/>
      <w:r w:rsidR="00103D3E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responsables de niveau 1 et 2, </w:t>
      </w:r>
      <w:bookmarkEnd w:id="0"/>
      <w:r w:rsidR="00103D3E" w:rsidRPr="002129D8">
        <w:rPr>
          <w:rFonts w:ascii="Segoe UI" w:hAnsi="Segoe UI" w:cs="Segoe UI"/>
          <w:color w:val="444444"/>
          <w:sz w:val="20"/>
          <w:szCs w:val="20"/>
          <w:lang w:val="fr-FR"/>
        </w:rPr>
        <w:t>et visées par le Directeur général, par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103D3E" w:rsidRPr="002129D8">
        <w:rPr>
          <w:rFonts w:ascii="Segoe UI" w:hAnsi="Segoe UI" w:cs="Segoe UI"/>
          <w:color w:val="444444"/>
          <w:sz w:val="20"/>
          <w:szCs w:val="20"/>
          <w:lang w:val="fr-FR"/>
        </w:rPr>
        <w:t>intermédiair</w:t>
      </w:r>
      <w:r w:rsidR="00F74188" w:rsidRPr="002129D8">
        <w:rPr>
          <w:rFonts w:ascii="Segoe UI" w:hAnsi="Segoe UI" w:cs="Segoe UI"/>
          <w:color w:val="444444"/>
          <w:sz w:val="20"/>
          <w:szCs w:val="20"/>
          <w:lang w:val="fr-FR"/>
        </w:rPr>
        <w:t>e de son Bureau (DGO)</w:t>
      </w:r>
      <w:r w:rsidR="00103D3E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. </w:t>
      </w:r>
      <w:r w:rsidR="00F74188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Le Bureau du Directeur général déterminera 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si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approbation de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Assemblée </w:t>
      </w:r>
      <w:r w:rsidR="00A25F2B" w:rsidRPr="002129D8">
        <w:rPr>
          <w:rFonts w:ascii="Segoe UI" w:hAnsi="Segoe UI" w:cs="Segoe UI"/>
          <w:color w:val="444444"/>
          <w:sz w:val="20"/>
          <w:szCs w:val="20"/>
          <w:lang w:val="fr-FR"/>
        </w:rPr>
        <w:t>mondiale de la Santé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/des organes directeurs est requise ; si ce n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est pas le cas, elles seront considérées comme finales une fois qu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elles ont été visées par le Directeur général. </w:t>
      </w:r>
    </w:p>
    <w:p w14:paraId="5E4E9117" w14:textId="58BBC85E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40.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Les lignes directrices et procédures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doivent être soumises aux parties prenantes qui donneront leur accord sous la forme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>une « absence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7C093A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objections », et être approuvées par les 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responsables de niveau 1 et 2. Elles sont alors considérées comme finales. Le processus ne doit pas dépasser 2 à 3 semaines. </w:t>
      </w:r>
    </w:p>
    <w:p w14:paraId="0720FA8C" w14:textId="6D1ED3A9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50.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Si de nouvelles politiques, procédures ou lignes directrices doivent être établies ou révisées/mises à jour lors de la riposte à un </w:t>
      </w:r>
      <w:r w:rsidR="00717369" w:rsidRPr="002129D8">
        <w:rPr>
          <w:rFonts w:ascii="Segoe UI" w:hAnsi="Segoe UI" w:cs="Segoe UI"/>
          <w:color w:val="444444"/>
          <w:sz w:val="20"/>
          <w:szCs w:val="20"/>
          <w:lang w:val="fr-FR"/>
        </w:rPr>
        <w:t>événement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, un processus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approbation rapide sera mis en œuvre. Le gestionnaire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incident formulera une proposition (ou enverra une demande de résolution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un problème) au Directeur régional de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administration et des finances (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DAF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)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, 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>qui consultera le Directeur GMG au Siège et donnera une réponse dans les 48 heures, en précisant la durée de validité de son approbation, s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8A6397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il la donne. </w:t>
      </w:r>
    </w:p>
    <w:p w14:paraId="17388283" w14:textId="53D9D7C5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60.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12688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Les </w:t>
      </w:r>
      <w:bookmarkStart w:id="1" w:name="_Hlk523836500"/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politiques, lignes directrices et procédures </w:t>
      </w:r>
      <w:bookmarkEnd w:id="1"/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seront diffusées par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intermédiaire du Manuel électronique de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OMS avec possibilité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accès externe. Celui-ci sera défini pour chaque document. </w:t>
      </w:r>
    </w:p>
    <w:p w14:paraId="6DF39129" w14:textId="2BA152B1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70.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Pour la diffusion par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intermédiaire du Manuel électronique,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approche suivante sera suivie : </w:t>
      </w:r>
    </w:p>
    <w:p w14:paraId="3414CD3A" w14:textId="4278BC95" w:rsidR="00954F50" w:rsidRPr="002129D8" w:rsidRDefault="00954F50" w:rsidP="00FD0C7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Poli</w:t>
      </w:r>
      <w:r w:rsidR="00936027" w:rsidRPr="002129D8">
        <w:rPr>
          <w:rFonts w:ascii="Segoe UI" w:hAnsi="Segoe UI" w:cs="Segoe UI"/>
          <w:color w:val="444444"/>
          <w:sz w:val="20"/>
          <w:szCs w:val="20"/>
          <w:lang w:val="fr-FR"/>
        </w:rPr>
        <w:t>tiques : l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es politiques de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OMS liées au travail dans les situations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urgence seront incluses dans le Manuel électronique de l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OMS dans la 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section XVII, 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actuellement intitulée « 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Health Emergencies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 » (Situations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D63999" w:rsidRPr="002129D8">
        <w:rPr>
          <w:rFonts w:ascii="Segoe UI" w:hAnsi="Segoe UI" w:cs="Segoe UI"/>
          <w:color w:val="444444"/>
          <w:sz w:val="20"/>
          <w:szCs w:val="20"/>
          <w:lang w:val="fr-FR"/>
        </w:rPr>
        <w:t>urgence sanitaire)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. </w:t>
      </w:r>
    </w:p>
    <w:p w14:paraId="1D120350" w14:textId="0FB1E135" w:rsidR="00954F50" w:rsidRPr="002129D8" w:rsidRDefault="00D63999" w:rsidP="00FD0C7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Les lignes directrices seront référencées dans le Manuel électronique </w:t>
      </w:r>
      <w:r w:rsidR="002952C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sous 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la rubrique intitulée « </w:t>
      </w:r>
      <w:proofErr w:type="spellStart"/>
      <w:r w:rsidR="00954F50" w:rsidRPr="002129D8">
        <w:rPr>
          <w:rFonts w:ascii="Segoe UI" w:hAnsi="Segoe UI" w:cs="Segoe UI"/>
          <w:color w:val="444444"/>
          <w:sz w:val="20"/>
          <w:szCs w:val="20"/>
          <w:lang w:val="fr-FR"/>
        </w:rPr>
        <w:t>Related</w:t>
      </w:r>
      <w:proofErr w:type="spellEnd"/>
      <w:r w:rsidR="00954F50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content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 » (documents connexes)</w:t>
      </w:r>
      <w:r w:rsidR="00954F50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, 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et seront incluses dans le</w:t>
      </w:r>
      <w:r w:rsidR="002952C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s archives </w:t>
      </w:r>
      <w:proofErr w:type="spellStart"/>
      <w:r w:rsidR="002952CD" w:rsidRPr="002129D8">
        <w:rPr>
          <w:rFonts w:ascii="Segoe UI" w:hAnsi="Segoe UI" w:cs="Segoe UI"/>
          <w:color w:val="444444"/>
          <w:sz w:val="20"/>
          <w:szCs w:val="20"/>
          <w:lang w:val="fr-FR"/>
        </w:rPr>
        <w:t>des</w:t>
      </w:r>
      <w:proofErr w:type="spellEnd"/>
      <w:r w:rsidR="002952C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MON en tant qu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2952CD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exemples des « meilleures pratiques ». </w:t>
      </w:r>
    </w:p>
    <w:p w14:paraId="5715D45A" w14:textId="5E964F32" w:rsidR="00954F50" w:rsidRPr="002129D8" w:rsidRDefault="002952CD" w:rsidP="00FD0C7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Les procédures</w:t>
      </w:r>
      <w:r w:rsidR="00954F50" w:rsidRPr="002129D8">
        <w:rPr>
          <w:rFonts w:ascii="Segoe UI" w:hAnsi="Segoe UI" w:cs="Segoe UI"/>
          <w:color w:val="444444"/>
          <w:sz w:val="20"/>
          <w:szCs w:val="20"/>
          <w:lang w:val="fr-FR"/>
        </w:rPr>
        <w:t> 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seront référencées dans le Manuel électronique sous la rubrique intitulée « </w:t>
      </w:r>
      <w:proofErr w:type="spellStart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Related</w:t>
      </w:r>
      <w:proofErr w:type="spellEnd"/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content » (documents connexes), et seront archivées dans un répertoire central </w:t>
      </w:r>
      <w:r w:rsidR="003D3B16" w:rsidRPr="002129D8">
        <w:rPr>
          <w:rFonts w:ascii="Segoe UI" w:hAnsi="Segoe UI" w:cs="Segoe UI"/>
          <w:color w:val="444444"/>
          <w:sz w:val="20"/>
          <w:szCs w:val="20"/>
          <w:lang w:val="fr-FR"/>
        </w:rPr>
        <w:t>de type « </w:t>
      </w:r>
      <w:proofErr w:type="spellStart"/>
      <w:r w:rsidR="00CA7B30" w:rsidRPr="002129D8">
        <w:rPr>
          <w:rFonts w:ascii="Segoe UI" w:hAnsi="Segoe UI" w:cs="Segoe UI"/>
          <w:color w:val="444444"/>
          <w:sz w:val="20"/>
          <w:szCs w:val="20"/>
          <w:lang w:val="fr-FR"/>
        </w:rPr>
        <w:t>Sharepoint</w:t>
      </w:r>
      <w:proofErr w:type="spellEnd"/>
      <w:r w:rsidR="00CA7B30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 ». </w:t>
      </w:r>
    </w:p>
    <w:p w14:paraId="7B8054B0" w14:textId="2CE7709A" w:rsidR="00954F50" w:rsidRPr="002129D8" w:rsidRDefault="00954F50" w:rsidP="00FD0C7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  <w:lang w:val="fr-FR"/>
        </w:rPr>
      </w:pP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>80.</w:t>
      </w:r>
      <w:r w:rsidRPr="002129D8">
        <w:rPr>
          <w:rFonts w:ascii="Segoe UI" w:hAnsi="Segoe UI" w:cs="Segoe UI"/>
          <w:color w:val="444444"/>
          <w:sz w:val="20"/>
          <w:szCs w:val="20"/>
          <w:lang w:val="fr-FR"/>
        </w:rPr>
        <w:tab/>
      </w:r>
      <w:r w:rsidR="00F52556" w:rsidRPr="002129D8">
        <w:rPr>
          <w:rFonts w:ascii="Segoe UI" w:hAnsi="Segoe UI" w:cs="Segoe UI"/>
          <w:color w:val="444444"/>
          <w:sz w:val="20"/>
          <w:szCs w:val="20"/>
          <w:lang w:val="fr-FR"/>
        </w:rPr>
        <w:t>Pour toute proposition de changement ou toute question relative aux politiques, lignes directrices et procédures d</w:t>
      </w:r>
      <w:r w:rsidR="00032072" w:rsidRPr="002129D8">
        <w:rPr>
          <w:rFonts w:ascii="Segoe UI" w:hAnsi="Segoe UI" w:cs="Segoe UI"/>
          <w:color w:val="444444"/>
          <w:sz w:val="20"/>
          <w:szCs w:val="20"/>
          <w:lang w:val="fr-FR"/>
        </w:rPr>
        <w:t>’</w:t>
      </w:r>
      <w:r w:rsidR="00F52556" w:rsidRPr="002129D8">
        <w:rPr>
          <w:rFonts w:ascii="Segoe UI" w:hAnsi="Segoe UI" w:cs="Segoe UI"/>
          <w:color w:val="444444"/>
          <w:sz w:val="20"/>
          <w:szCs w:val="20"/>
          <w:lang w:val="fr-FR"/>
        </w:rPr>
        <w:t>urgence, veuillez contacter</w:t>
      </w:r>
      <w:r w:rsidR="00736298" w:rsidRPr="002129D8">
        <w:rPr>
          <w:rFonts w:ascii="Segoe UI" w:hAnsi="Segoe UI" w:cs="Segoe UI"/>
          <w:color w:val="444444"/>
          <w:sz w:val="20"/>
          <w:szCs w:val="20"/>
          <w:lang w:val="fr-FR"/>
        </w:rPr>
        <w:t xml:space="preserve"> </w:t>
      </w:r>
      <w:hyperlink r:id="rId13" w:history="1">
        <w:r w:rsidRPr="002129D8">
          <w:rPr>
            <w:rStyle w:val="Hyperlink"/>
            <w:rFonts w:ascii="Segoe UI" w:hAnsi="Segoe UI" w:cs="Segoe UI"/>
            <w:color w:val="663399"/>
            <w:sz w:val="20"/>
            <w:szCs w:val="20"/>
            <w:lang w:val="fr-FR"/>
          </w:rPr>
          <w:t>emanualemergency@who.int</w:t>
        </w:r>
      </w:hyperlink>
      <w:r w:rsidR="00F52556" w:rsidRPr="002129D8">
        <w:rPr>
          <w:rFonts w:ascii="Segoe UI" w:hAnsi="Segoe UI" w:cs="Segoe UI"/>
          <w:color w:val="444444"/>
          <w:sz w:val="20"/>
          <w:szCs w:val="20"/>
          <w:lang w:val="fr-FR"/>
        </w:rPr>
        <w:t>.</w:t>
      </w:r>
    </w:p>
    <w:sectPr w:rsidR="00954F50" w:rsidRPr="002129D8" w:rsidSect="001B592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A394" w14:textId="77777777" w:rsidR="001D33DE" w:rsidRDefault="001D33DE" w:rsidP="00842107">
      <w:pPr>
        <w:spacing w:after="0" w:line="240" w:lineRule="auto"/>
      </w:pPr>
      <w:r>
        <w:separator/>
      </w:r>
    </w:p>
  </w:endnote>
  <w:endnote w:type="continuationSeparator" w:id="0">
    <w:p w14:paraId="0C321492" w14:textId="77777777" w:rsidR="001D33DE" w:rsidRDefault="001D33DE" w:rsidP="0084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4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8D0851" w14:textId="757C51E1" w:rsidR="001841A3" w:rsidRDefault="001841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9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F52556">
              <w:t xml:space="preserve">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9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84C8CA" w14:textId="77777777" w:rsidR="001841A3" w:rsidRDefault="0018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83F8" w14:textId="77777777" w:rsidR="001D33DE" w:rsidRDefault="001D33DE" w:rsidP="00842107">
      <w:pPr>
        <w:spacing w:after="0" w:line="240" w:lineRule="auto"/>
      </w:pPr>
      <w:r>
        <w:separator/>
      </w:r>
    </w:p>
  </w:footnote>
  <w:footnote w:type="continuationSeparator" w:id="0">
    <w:p w14:paraId="0129B8C5" w14:textId="77777777" w:rsidR="001D33DE" w:rsidRDefault="001D33DE" w:rsidP="0084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70"/>
    <w:multiLevelType w:val="hybridMultilevel"/>
    <w:tmpl w:val="B004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0138"/>
    <w:multiLevelType w:val="multilevel"/>
    <w:tmpl w:val="CB2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6312"/>
    <w:multiLevelType w:val="multilevel"/>
    <w:tmpl w:val="FA8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E05CF"/>
    <w:multiLevelType w:val="hybridMultilevel"/>
    <w:tmpl w:val="54C6886E"/>
    <w:lvl w:ilvl="0" w:tplc="1A1A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82703"/>
    <w:multiLevelType w:val="multilevel"/>
    <w:tmpl w:val="A970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53552"/>
    <w:multiLevelType w:val="multilevel"/>
    <w:tmpl w:val="70E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E278A"/>
    <w:multiLevelType w:val="multilevel"/>
    <w:tmpl w:val="10B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5114F"/>
    <w:multiLevelType w:val="multilevel"/>
    <w:tmpl w:val="8674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73C2F"/>
    <w:multiLevelType w:val="multilevel"/>
    <w:tmpl w:val="3AF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77525"/>
    <w:multiLevelType w:val="multilevel"/>
    <w:tmpl w:val="9ADE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75DD5"/>
    <w:multiLevelType w:val="multilevel"/>
    <w:tmpl w:val="DC5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925274">
    <w:abstractNumId w:val="2"/>
  </w:num>
  <w:num w:numId="2" w16cid:durableId="1389377943">
    <w:abstractNumId w:val="5"/>
  </w:num>
  <w:num w:numId="3" w16cid:durableId="70666172">
    <w:abstractNumId w:val="8"/>
  </w:num>
  <w:num w:numId="4" w16cid:durableId="1072242822">
    <w:abstractNumId w:val="0"/>
  </w:num>
  <w:num w:numId="5" w16cid:durableId="1688947450">
    <w:abstractNumId w:val="3"/>
  </w:num>
  <w:num w:numId="6" w16cid:durableId="223300094">
    <w:abstractNumId w:val="4"/>
  </w:num>
  <w:num w:numId="7" w16cid:durableId="1779982766">
    <w:abstractNumId w:val="7"/>
  </w:num>
  <w:num w:numId="8" w16cid:durableId="1072384589">
    <w:abstractNumId w:val="1"/>
  </w:num>
  <w:num w:numId="9" w16cid:durableId="1851875061">
    <w:abstractNumId w:val="9"/>
  </w:num>
  <w:num w:numId="10" w16cid:durableId="1159689215">
    <w:abstractNumId w:val="6"/>
  </w:num>
  <w:num w:numId="11" w16cid:durableId="200180503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48"/>
    <w:rsid w:val="00002A72"/>
    <w:rsid w:val="0000338B"/>
    <w:rsid w:val="00025514"/>
    <w:rsid w:val="00032072"/>
    <w:rsid w:val="000441C5"/>
    <w:rsid w:val="00071DB8"/>
    <w:rsid w:val="00072092"/>
    <w:rsid w:val="000761C9"/>
    <w:rsid w:val="00076D0D"/>
    <w:rsid w:val="00077F65"/>
    <w:rsid w:val="00090B0C"/>
    <w:rsid w:val="00091296"/>
    <w:rsid w:val="00091898"/>
    <w:rsid w:val="00091F74"/>
    <w:rsid w:val="00092EE2"/>
    <w:rsid w:val="00094642"/>
    <w:rsid w:val="00094C62"/>
    <w:rsid w:val="0009759C"/>
    <w:rsid w:val="000B533A"/>
    <w:rsid w:val="000C3E8B"/>
    <w:rsid w:val="000C619E"/>
    <w:rsid w:val="000F5927"/>
    <w:rsid w:val="000F6115"/>
    <w:rsid w:val="00103D3E"/>
    <w:rsid w:val="0010435F"/>
    <w:rsid w:val="00115E14"/>
    <w:rsid w:val="001228ED"/>
    <w:rsid w:val="0012688D"/>
    <w:rsid w:val="00127441"/>
    <w:rsid w:val="00127621"/>
    <w:rsid w:val="00133E47"/>
    <w:rsid w:val="00143120"/>
    <w:rsid w:val="001452C4"/>
    <w:rsid w:val="00146F4F"/>
    <w:rsid w:val="00163F7E"/>
    <w:rsid w:val="00170F57"/>
    <w:rsid w:val="00174D7C"/>
    <w:rsid w:val="001841A3"/>
    <w:rsid w:val="001B592A"/>
    <w:rsid w:val="001C19E0"/>
    <w:rsid w:val="001C7760"/>
    <w:rsid w:val="001C7978"/>
    <w:rsid w:val="001D33DE"/>
    <w:rsid w:val="001E6FE2"/>
    <w:rsid w:val="001F6491"/>
    <w:rsid w:val="00200905"/>
    <w:rsid w:val="00201009"/>
    <w:rsid w:val="00207251"/>
    <w:rsid w:val="002129D8"/>
    <w:rsid w:val="00223C2F"/>
    <w:rsid w:val="00237251"/>
    <w:rsid w:val="0024278F"/>
    <w:rsid w:val="00251C27"/>
    <w:rsid w:val="00261AB4"/>
    <w:rsid w:val="002622F9"/>
    <w:rsid w:val="00284160"/>
    <w:rsid w:val="00285FA4"/>
    <w:rsid w:val="00286C03"/>
    <w:rsid w:val="002952CD"/>
    <w:rsid w:val="002C73B5"/>
    <w:rsid w:val="002C7428"/>
    <w:rsid w:val="002F0B01"/>
    <w:rsid w:val="002F4C7A"/>
    <w:rsid w:val="003025D3"/>
    <w:rsid w:val="00303BAE"/>
    <w:rsid w:val="00315597"/>
    <w:rsid w:val="00315E42"/>
    <w:rsid w:val="003250C7"/>
    <w:rsid w:val="00330796"/>
    <w:rsid w:val="00353584"/>
    <w:rsid w:val="00355993"/>
    <w:rsid w:val="00372E74"/>
    <w:rsid w:val="00375CE2"/>
    <w:rsid w:val="00380004"/>
    <w:rsid w:val="003827C9"/>
    <w:rsid w:val="0038396F"/>
    <w:rsid w:val="0038776B"/>
    <w:rsid w:val="0039083F"/>
    <w:rsid w:val="00391DD3"/>
    <w:rsid w:val="003A40AB"/>
    <w:rsid w:val="003B5696"/>
    <w:rsid w:val="003C09C7"/>
    <w:rsid w:val="003C1B09"/>
    <w:rsid w:val="003D3B16"/>
    <w:rsid w:val="003D4020"/>
    <w:rsid w:val="003E086A"/>
    <w:rsid w:val="003E3948"/>
    <w:rsid w:val="003E46BD"/>
    <w:rsid w:val="003E76FA"/>
    <w:rsid w:val="003F6798"/>
    <w:rsid w:val="0040068B"/>
    <w:rsid w:val="00402C87"/>
    <w:rsid w:val="00405404"/>
    <w:rsid w:val="0041048E"/>
    <w:rsid w:val="00411F66"/>
    <w:rsid w:val="00437946"/>
    <w:rsid w:val="00461F3E"/>
    <w:rsid w:val="004728DB"/>
    <w:rsid w:val="00472BF2"/>
    <w:rsid w:val="00476894"/>
    <w:rsid w:val="004861E6"/>
    <w:rsid w:val="00487AB3"/>
    <w:rsid w:val="00494A75"/>
    <w:rsid w:val="0049718F"/>
    <w:rsid w:val="004A198F"/>
    <w:rsid w:val="004A41F5"/>
    <w:rsid w:val="004A58ED"/>
    <w:rsid w:val="004B2DB8"/>
    <w:rsid w:val="004C241B"/>
    <w:rsid w:val="00514030"/>
    <w:rsid w:val="00515014"/>
    <w:rsid w:val="00531598"/>
    <w:rsid w:val="00532060"/>
    <w:rsid w:val="005429D7"/>
    <w:rsid w:val="005501AD"/>
    <w:rsid w:val="00556294"/>
    <w:rsid w:val="005567E0"/>
    <w:rsid w:val="00581E87"/>
    <w:rsid w:val="0059238E"/>
    <w:rsid w:val="005B0F9C"/>
    <w:rsid w:val="005C33D1"/>
    <w:rsid w:val="005C5816"/>
    <w:rsid w:val="005D099C"/>
    <w:rsid w:val="005F517C"/>
    <w:rsid w:val="00604781"/>
    <w:rsid w:val="0061251F"/>
    <w:rsid w:val="00634E9A"/>
    <w:rsid w:val="00645628"/>
    <w:rsid w:val="00671A16"/>
    <w:rsid w:val="0068677B"/>
    <w:rsid w:val="006876CE"/>
    <w:rsid w:val="006C213A"/>
    <w:rsid w:val="006C6E3F"/>
    <w:rsid w:val="006E0567"/>
    <w:rsid w:val="006E79E5"/>
    <w:rsid w:val="00702016"/>
    <w:rsid w:val="0071467B"/>
    <w:rsid w:val="00717369"/>
    <w:rsid w:val="00717C6F"/>
    <w:rsid w:val="007222CD"/>
    <w:rsid w:val="007235CB"/>
    <w:rsid w:val="00725CA5"/>
    <w:rsid w:val="00725F24"/>
    <w:rsid w:val="00736298"/>
    <w:rsid w:val="00736A55"/>
    <w:rsid w:val="007405F5"/>
    <w:rsid w:val="00743AD6"/>
    <w:rsid w:val="00766B50"/>
    <w:rsid w:val="00767D1B"/>
    <w:rsid w:val="00774A3A"/>
    <w:rsid w:val="007855B5"/>
    <w:rsid w:val="00797990"/>
    <w:rsid w:val="00797D6A"/>
    <w:rsid w:val="007A2F8C"/>
    <w:rsid w:val="007A7F82"/>
    <w:rsid w:val="007B0297"/>
    <w:rsid w:val="007B7364"/>
    <w:rsid w:val="007C064D"/>
    <w:rsid w:val="007C093A"/>
    <w:rsid w:val="007C3B32"/>
    <w:rsid w:val="007C4D8D"/>
    <w:rsid w:val="007D0FB3"/>
    <w:rsid w:val="007E29FA"/>
    <w:rsid w:val="0080261C"/>
    <w:rsid w:val="0080486A"/>
    <w:rsid w:val="008076DE"/>
    <w:rsid w:val="00827579"/>
    <w:rsid w:val="008322AB"/>
    <w:rsid w:val="00842107"/>
    <w:rsid w:val="0085048F"/>
    <w:rsid w:val="00850AAC"/>
    <w:rsid w:val="00853164"/>
    <w:rsid w:val="00865EE3"/>
    <w:rsid w:val="00866758"/>
    <w:rsid w:val="008837DB"/>
    <w:rsid w:val="008959D6"/>
    <w:rsid w:val="008A6397"/>
    <w:rsid w:val="008E177A"/>
    <w:rsid w:val="009031F3"/>
    <w:rsid w:val="009053E4"/>
    <w:rsid w:val="00916D24"/>
    <w:rsid w:val="00933811"/>
    <w:rsid w:val="00936027"/>
    <w:rsid w:val="009362F9"/>
    <w:rsid w:val="00953103"/>
    <w:rsid w:val="00954F50"/>
    <w:rsid w:val="00955637"/>
    <w:rsid w:val="00960446"/>
    <w:rsid w:val="009605DB"/>
    <w:rsid w:val="0097121E"/>
    <w:rsid w:val="00976FD1"/>
    <w:rsid w:val="0098602F"/>
    <w:rsid w:val="00986DB6"/>
    <w:rsid w:val="009B2B34"/>
    <w:rsid w:val="009B3A6E"/>
    <w:rsid w:val="009B41C6"/>
    <w:rsid w:val="009B43B7"/>
    <w:rsid w:val="009D6AFB"/>
    <w:rsid w:val="009F68D2"/>
    <w:rsid w:val="00A01D6E"/>
    <w:rsid w:val="00A02F75"/>
    <w:rsid w:val="00A0301C"/>
    <w:rsid w:val="00A1369A"/>
    <w:rsid w:val="00A213EF"/>
    <w:rsid w:val="00A23F01"/>
    <w:rsid w:val="00A25F2B"/>
    <w:rsid w:val="00A363E0"/>
    <w:rsid w:val="00A44ACA"/>
    <w:rsid w:val="00A44AF2"/>
    <w:rsid w:val="00A621AF"/>
    <w:rsid w:val="00A65C2E"/>
    <w:rsid w:val="00A755C9"/>
    <w:rsid w:val="00A84735"/>
    <w:rsid w:val="00A86A42"/>
    <w:rsid w:val="00AA2C52"/>
    <w:rsid w:val="00AA71FC"/>
    <w:rsid w:val="00AB3B5D"/>
    <w:rsid w:val="00AB58FE"/>
    <w:rsid w:val="00AC23CC"/>
    <w:rsid w:val="00AC345D"/>
    <w:rsid w:val="00AD0FA0"/>
    <w:rsid w:val="00AD4F4E"/>
    <w:rsid w:val="00AE1F89"/>
    <w:rsid w:val="00B26F0C"/>
    <w:rsid w:val="00B361C3"/>
    <w:rsid w:val="00B446DB"/>
    <w:rsid w:val="00B45F53"/>
    <w:rsid w:val="00B5360C"/>
    <w:rsid w:val="00B660F8"/>
    <w:rsid w:val="00B67CDD"/>
    <w:rsid w:val="00B72DF6"/>
    <w:rsid w:val="00B80044"/>
    <w:rsid w:val="00B85E2C"/>
    <w:rsid w:val="00B86CC6"/>
    <w:rsid w:val="00B90037"/>
    <w:rsid w:val="00B918D1"/>
    <w:rsid w:val="00B92DB5"/>
    <w:rsid w:val="00BA1078"/>
    <w:rsid w:val="00BA6EE1"/>
    <w:rsid w:val="00BA7683"/>
    <w:rsid w:val="00BA7AFC"/>
    <w:rsid w:val="00BB325C"/>
    <w:rsid w:val="00BC5045"/>
    <w:rsid w:val="00BC65EA"/>
    <w:rsid w:val="00BC68DE"/>
    <w:rsid w:val="00BF36E4"/>
    <w:rsid w:val="00C2594F"/>
    <w:rsid w:val="00C25D49"/>
    <w:rsid w:val="00C42AD1"/>
    <w:rsid w:val="00C4569F"/>
    <w:rsid w:val="00C46F1A"/>
    <w:rsid w:val="00C75E10"/>
    <w:rsid w:val="00C77F68"/>
    <w:rsid w:val="00C80F72"/>
    <w:rsid w:val="00C84508"/>
    <w:rsid w:val="00C92E8D"/>
    <w:rsid w:val="00CA6CF9"/>
    <w:rsid w:val="00CA7B30"/>
    <w:rsid w:val="00CC2D91"/>
    <w:rsid w:val="00CD062B"/>
    <w:rsid w:val="00CD6E6C"/>
    <w:rsid w:val="00CE4AEE"/>
    <w:rsid w:val="00CE597A"/>
    <w:rsid w:val="00CF162F"/>
    <w:rsid w:val="00D034C7"/>
    <w:rsid w:val="00D067FE"/>
    <w:rsid w:val="00D1518E"/>
    <w:rsid w:val="00D15D62"/>
    <w:rsid w:val="00D2276D"/>
    <w:rsid w:val="00D26C24"/>
    <w:rsid w:val="00D26C30"/>
    <w:rsid w:val="00D271B4"/>
    <w:rsid w:val="00D345B3"/>
    <w:rsid w:val="00D51E78"/>
    <w:rsid w:val="00D51F09"/>
    <w:rsid w:val="00D5767D"/>
    <w:rsid w:val="00D60148"/>
    <w:rsid w:val="00D63999"/>
    <w:rsid w:val="00D70E21"/>
    <w:rsid w:val="00D70E4E"/>
    <w:rsid w:val="00D82103"/>
    <w:rsid w:val="00D868EF"/>
    <w:rsid w:val="00D93887"/>
    <w:rsid w:val="00D9390B"/>
    <w:rsid w:val="00D95B7B"/>
    <w:rsid w:val="00DB346D"/>
    <w:rsid w:val="00DB640F"/>
    <w:rsid w:val="00DC64F5"/>
    <w:rsid w:val="00DC6C2B"/>
    <w:rsid w:val="00DD5AE7"/>
    <w:rsid w:val="00DE0DAC"/>
    <w:rsid w:val="00DF362E"/>
    <w:rsid w:val="00E0028A"/>
    <w:rsid w:val="00E01A22"/>
    <w:rsid w:val="00E0378D"/>
    <w:rsid w:val="00E16750"/>
    <w:rsid w:val="00E226D9"/>
    <w:rsid w:val="00E313D0"/>
    <w:rsid w:val="00E319C6"/>
    <w:rsid w:val="00E37C59"/>
    <w:rsid w:val="00E54B39"/>
    <w:rsid w:val="00E61AEA"/>
    <w:rsid w:val="00E7076F"/>
    <w:rsid w:val="00E76C4A"/>
    <w:rsid w:val="00E9199E"/>
    <w:rsid w:val="00E97580"/>
    <w:rsid w:val="00EA6213"/>
    <w:rsid w:val="00EA7939"/>
    <w:rsid w:val="00EC08FC"/>
    <w:rsid w:val="00EC1058"/>
    <w:rsid w:val="00EC7B46"/>
    <w:rsid w:val="00EE0ADE"/>
    <w:rsid w:val="00EE410F"/>
    <w:rsid w:val="00EF0955"/>
    <w:rsid w:val="00EF1173"/>
    <w:rsid w:val="00EF7623"/>
    <w:rsid w:val="00F050A2"/>
    <w:rsid w:val="00F15EF8"/>
    <w:rsid w:val="00F16A4D"/>
    <w:rsid w:val="00F24EE7"/>
    <w:rsid w:val="00F30D3C"/>
    <w:rsid w:val="00F31CF1"/>
    <w:rsid w:val="00F52556"/>
    <w:rsid w:val="00F55195"/>
    <w:rsid w:val="00F56EF8"/>
    <w:rsid w:val="00F63507"/>
    <w:rsid w:val="00F71B55"/>
    <w:rsid w:val="00F72CA7"/>
    <w:rsid w:val="00F74188"/>
    <w:rsid w:val="00F847E0"/>
    <w:rsid w:val="00F84E1A"/>
    <w:rsid w:val="00FA68D3"/>
    <w:rsid w:val="00FD0C78"/>
    <w:rsid w:val="00FE382A"/>
    <w:rsid w:val="00FE6F09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23DFF"/>
  <w15:docId w15:val="{A5048FE2-F11C-449E-8E44-8581262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E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61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9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948"/>
  </w:style>
  <w:style w:type="character" w:styleId="Hyperlink">
    <w:name w:val="Hyperlink"/>
    <w:basedOn w:val="DefaultParagraphFont"/>
    <w:uiPriority w:val="99"/>
    <w:unhideWhenUsed/>
    <w:rsid w:val="003E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68DE"/>
    <w:pPr>
      <w:ind w:left="720"/>
      <w:contextualSpacing/>
    </w:pPr>
  </w:style>
  <w:style w:type="paragraph" w:customStyle="1" w:styleId="Default">
    <w:name w:val="Default"/>
    <w:rsid w:val="00EF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4shortdash">
    <w:name w:val="04 short dash"/>
    <w:basedOn w:val="Normal"/>
    <w:uiPriority w:val="6"/>
    <w:qFormat/>
    <w:rsid w:val="00842107"/>
    <w:pPr>
      <w:numPr>
        <w:ilvl w:val="3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FootnoteText">
    <w:name w:val="footnote text"/>
    <w:aliases w:val="Footnote Text Quote,ft,single space"/>
    <w:basedOn w:val="Normal"/>
    <w:link w:val="FootnoteTextChar"/>
    <w:unhideWhenUsed/>
    <w:rsid w:val="00842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Quote Char,ft Char,single space Char"/>
    <w:basedOn w:val="DefaultParagraphFont"/>
    <w:link w:val="FootnoteText"/>
    <w:rsid w:val="00842107"/>
    <w:rPr>
      <w:sz w:val="20"/>
      <w:szCs w:val="20"/>
    </w:rPr>
  </w:style>
  <w:style w:type="character" w:styleId="FootnoteReference">
    <w:name w:val="footnote reference"/>
    <w:aliases w:val="( Footnote Reference,ftref"/>
    <w:basedOn w:val="DefaultParagraphFont"/>
    <w:uiPriority w:val="99"/>
    <w:unhideWhenUsed/>
    <w:rsid w:val="00842107"/>
    <w:rPr>
      <w:vertAlign w:val="superscript"/>
    </w:rPr>
  </w:style>
  <w:style w:type="character" w:styleId="Strong">
    <w:name w:val="Strong"/>
    <w:basedOn w:val="DefaultParagraphFont"/>
    <w:uiPriority w:val="22"/>
    <w:qFormat/>
    <w:rsid w:val="00DC64F5"/>
    <w:rPr>
      <w:b/>
      <w:bCs/>
    </w:rPr>
  </w:style>
  <w:style w:type="paragraph" w:styleId="Revision">
    <w:name w:val="Revision"/>
    <w:hidden/>
    <w:uiPriority w:val="99"/>
    <w:semiHidden/>
    <w:rsid w:val="00D2276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4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E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4E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3"/>
  </w:style>
  <w:style w:type="paragraph" w:styleId="Footer">
    <w:name w:val="footer"/>
    <w:basedOn w:val="Normal"/>
    <w:link w:val="Foot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3"/>
  </w:style>
  <w:style w:type="character" w:customStyle="1" w:styleId="Heading2Char">
    <w:name w:val="Heading 2 Char"/>
    <w:basedOn w:val="DefaultParagraphFont"/>
    <w:link w:val="Heading2"/>
    <w:uiPriority w:val="9"/>
    <w:rsid w:val="00353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72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-rtethemefontface-1">
    <w:name w:val="ms-rtethemefontface-1"/>
    <w:basedOn w:val="DefaultParagraphFont"/>
    <w:rsid w:val="00472BF2"/>
  </w:style>
  <w:style w:type="character" w:customStyle="1" w:styleId="ms-rtefontface-1">
    <w:name w:val="ms-rtefontface-1"/>
    <w:basedOn w:val="DefaultParagraphFont"/>
    <w:rsid w:val="00472BF2"/>
  </w:style>
  <w:style w:type="character" w:customStyle="1" w:styleId="Heading4Char">
    <w:name w:val="Heading 4 Char"/>
    <w:basedOn w:val="DefaultParagraphFont"/>
    <w:link w:val="Heading4"/>
    <w:uiPriority w:val="9"/>
    <w:rsid w:val="00B361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rteforecolor-2">
    <w:name w:val="ms-rteforecolor-2"/>
    <w:basedOn w:val="DefaultParagraphFont"/>
    <w:rsid w:val="00B361C3"/>
  </w:style>
  <w:style w:type="character" w:styleId="FollowedHyperlink">
    <w:name w:val="FollowedHyperlink"/>
    <w:basedOn w:val="DefaultParagraphFont"/>
    <w:uiPriority w:val="99"/>
    <w:semiHidden/>
    <w:unhideWhenUsed/>
    <w:rsid w:val="00C25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6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0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5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anualemergency@who.i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manual.who.int/eM_RelCont_Lib/WHE%20Policy%20Procedure%20Mgmt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1768;#1.5 Development and Management of Emergency Policies, Guidelines and Procedures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Version française XVII-1-5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1768;#0f67b805-c2a1-4ac0-be4b-4a20beaec15e</eM_PolicyIDs_S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EE51855D-039E-440F-BF11-74073A001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783CF-3F72-4164-83F3-91FDC639A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0F298-2100-41FC-8188-8CDCB9B7F524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4.xml><?xml version="1.0" encoding="utf-8"?>
<ds:datastoreItem xmlns:ds="http://schemas.openxmlformats.org/officeDocument/2006/customXml" ds:itemID="{F292D63A-02A1-405F-B2FD-3737D73BB3BB}"/>
</file>

<file path=customXml/itemProps5.xml><?xml version="1.0" encoding="utf-8"?>
<ds:datastoreItem xmlns:ds="http://schemas.openxmlformats.org/officeDocument/2006/customXml" ds:itemID="{AE33161D-96C0-4C8C-896F-CED4366A8B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3024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Ju</dc:creator>
  <cp:lastModifiedBy>PRASHAD, Anupa</cp:lastModifiedBy>
  <cp:revision>2</cp:revision>
  <cp:lastPrinted>2018-09-04T13:01:00Z</cp:lastPrinted>
  <dcterms:created xsi:type="dcterms:W3CDTF">2023-09-03T08:51:00Z</dcterms:created>
  <dcterms:modified xsi:type="dcterms:W3CDTF">2023-09-03T08:51:00Z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  <property fmtid="{D5CDD505-2E9C-101B-9397-08002B2CF9AE}" pid="4" name="GrammarlyDocumentId">
    <vt:lpwstr>33d312c2867d3517664664c533fd18606c19304628de57b762d56dba6be61f68</vt:lpwstr>
  </property>
</Properties>
</file>